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6189966" w:displacedByCustomXml="next"/>
    <w:sdt>
      <w:sdtPr>
        <w:rPr>
          <w:rFonts w:asciiTheme="minorHAnsi" w:eastAsiaTheme="minorHAnsi" w:hAnsiTheme="minorHAnsi" w:cstheme="minorBidi"/>
          <w:i w:val="0"/>
          <w:sz w:val="22"/>
          <w:szCs w:val="22"/>
        </w:rPr>
        <w:id w:val="-687758248"/>
        <w:docPartObj>
          <w:docPartGallery w:val="Cover Pages"/>
          <w:docPartUnique/>
        </w:docPartObj>
      </w:sdtPr>
      <w:sdtEndPr>
        <w:rPr>
          <w:b/>
          <w:sz w:val="24"/>
        </w:rPr>
      </w:sdtEndPr>
      <w:sdtContent>
        <w:tbl>
          <w:tblPr>
            <w:tblpPr w:leftFromText="187" w:rightFromText="187" w:horzAnchor="margin" w:tblpXSpec="center" w:tblpY="2881"/>
            <w:tblW w:w="4132" w:type="pct"/>
            <w:tblBorders>
              <w:left w:val="single" w:sz="18" w:space="0" w:color="4F81BD" w:themeColor="accent1"/>
            </w:tblBorders>
            <w:tblLook w:val="04A0" w:firstRow="1" w:lastRow="0" w:firstColumn="1" w:lastColumn="0" w:noHBand="0" w:noVBand="1"/>
          </w:tblPr>
          <w:tblGrid>
            <w:gridCol w:w="7716"/>
          </w:tblGrid>
          <w:tr>
            <w:tc>
              <w:tcPr>
                <w:tcW w:w="7717" w:type="dxa"/>
                <w:tcMar>
                  <w:top w:w="216" w:type="dxa"/>
                  <w:left w:w="115" w:type="dxa"/>
                  <w:bottom w:w="216" w:type="dxa"/>
                  <w:right w:w="115" w:type="dxa"/>
                </w:tcMar>
              </w:tcPr>
              <w:p>
                <w:pPr>
                  <w:pStyle w:val="Footnotes"/>
                  <w:framePr w:hSpace="0" w:wrap="auto" w:hAnchor="text" w:xAlign="left" w:yAlign="inline"/>
                </w:pPr>
              </w:p>
              <w:p>
                <w:pPr>
                  <w:pStyle w:val="NoSpacing"/>
                  <w:spacing w:line="276" w:lineRule="auto"/>
                  <w:rPr>
                    <w:rFonts w:eastAsiaTheme="majorEastAsia" w:cstheme="majorBidi"/>
                    <w:i/>
                    <w:sz w:val="28"/>
                  </w:rPr>
                </w:pPr>
                <w:r>
                  <w:rPr>
                    <w:rFonts w:eastAsiaTheme="majorEastAsia" w:cstheme="majorBidi"/>
                    <w:i/>
                    <w:sz w:val="28"/>
                  </w:rPr>
                  <w:t xml:space="preserve">2024 Distributed Solar and Storage Resources RFP: </w:t>
                </w:r>
              </w:p>
            </w:tc>
          </w:tr>
          <w:tr>
            <w:tc>
              <w:tcPr>
                <w:tcW w:w="7717"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C. BESS Requirements</w:t>
                </w:r>
              </w:p>
            </w:tc>
          </w:tr>
          <w:tr>
            <w:tc>
              <w:tcPr>
                <w:tcW w:w="7717" w:type="dxa"/>
                <w:tcMar>
                  <w:top w:w="216" w:type="dxa"/>
                  <w:left w:w="115" w:type="dxa"/>
                  <w:bottom w:w="216" w:type="dxa"/>
                  <w:right w:w="115" w:type="dxa"/>
                </w:tcMar>
              </w:tcPr>
              <w:p>
                <w:pPr>
                  <w:pStyle w:val="NoSpacing"/>
                  <w:rPr>
                    <w:rFonts w:asciiTheme="majorHAnsi" w:eastAsiaTheme="majorEastAsia" w:hAnsiTheme="majorHAnsi" w:cstheme="majorBidi"/>
                  </w:rPr>
                </w:pPr>
              </w:p>
            </w:tc>
          </w:tr>
        </w:tbl>
        <w:p/>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r>
            <w:rPr>
              <w:noProof/>
            </w:rPr>
            <w:drawing>
              <wp:anchor distT="0" distB="0" distL="114300" distR="114300" simplePos="0" relativeHeight="251658240"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b/>
              <w:i/>
              <w:sz w:val="24"/>
              <w:szCs w:val="24"/>
            </w:rPr>
          </w:pPr>
          <w:r>
            <w:rPr>
              <w:b/>
              <w:i/>
              <w:sz w:val="24"/>
              <w:szCs w:val="24"/>
            </w:rPr>
            <w:br w:type="page"/>
          </w:r>
        </w:p>
      </w:sdtContent>
    </w:sdt>
    <w:bookmarkEnd w:id="0"/>
    <w:p>
      <w:pPr>
        <w:pStyle w:val="Subhead1"/>
        <w:ind w:left="0"/>
      </w:pPr>
    </w:p>
    <w:p>
      <w:pPr>
        <w:pStyle w:val="Subhead1"/>
        <w:ind w:left="0"/>
      </w:pPr>
      <w:r>
        <w:t>Key BESS Requirements</w:t>
      </w:r>
    </w:p>
    <w:p>
      <w:pPr>
        <w:rPr>
          <w:sz w:val="24"/>
          <w:szCs w:val="24"/>
        </w:rPr>
      </w:pPr>
      <w:r>
        <w:rPr>
          <w:sz w:val="24"/>
          <w:szCs w:val="24"/>
        </w:rPr>
        <w:t xml:space="preserve">Battery Energy Storage System submittals for the DSS RFP must adhere to the requirements listed below and if certain standards cannot be met, the Respondent will need to address them to PSE. If the project is selected to proceed, further information in regards to study reports, calculations, inverter behavior, battery characteristics, etc... shall be requested for analysis as PSE moves forward with its study process. </w:t>
      </w:r>
      <w:bookmarkStart w:id="1" w:name="_GoBack"/>
      <w:bookmarkEnd w:id="1"/>
    </w:p>
    <w:p>
      <w:pPr>
        <w:rPr>
          <w:b/>
          <w:i/>
          <w:sz w:val="24"/>
          <w:szCs w:val="24"/>
        </w:rPr>
      </w:pPr>
      <w:r>
        <w:rPr>
          <w:b/>
          <w:i/>
          <w:sz w:val="24"/>
          <w:szCs w:val="24"/>
        </w:rPr>
        <w:t>Requirements</w:t>
      </w:r>
    </w:p>
    <w:p>
      <w:pPr>
        <w:rPr>
          <w:sz w:val="24"/>
          <w:szCs w:val="24"/>
        </w:rPr>
      </w:pPr>
      <w:r>
        <w:rPr>
          <w:sz w:val="24"/>
          <w:szCs w:val="24"/>
        </w:rPr>
        <w:t>PSE’s key requirements for BESS projects are bulleted below, with details provided in the following paragraphs.</w:t>
      </w:r>
    </w:p>
    <w:p>
      <w:pPr>
        <w:pStyle w:val="ListParagraph"/>
        <w:numPr>
          <w:ilvl w:val="0"/>
          <w:numId w:val="30"/>
        </w:numPr>
        <w:rPr>
          <w:sz w:val="24"/>
          <w:szCs w:val="24"/>
        </w:rPr>
      </w:pPr>
      <w:r>
        <w:rPr>
          <w:sz w:val="24"/>
          <w:szCs w:val="24"/>
        </w:rPr>
        <w:t>Seismic</w:t>
      </w:r>
    </w:p>
    <w:p>
      <w:pPr>
        <w:pStyle w:val="ListParagraph"/>
        <w:numPr>
          <w:ilvl w:val="0"/>
          <w:numId w:val="30"/>
        </w:numPr>
        <w:rPr>
          <w:sz w:val="24"/>
          <w:szCs w:val="24"/>
        </w:rPr>
      </w:pPr>
      <w:r>
        <w:rPr>
          <w:sz w:val="24"/>
          <w:szCs w:val="24"/>
        </w:rPr>
        <w:t>Physical Characteristics</w:t>
      </w:r>
    </w:p>
    <w:p>
      <w:pPr>
        <w:pStyle w:val="ListParagraph"/>
        <w:numPr>
          <w:ilvl w:val="0"/>
          <w:numId w:val="30"/>
        </w:numPr>
        <w:rPr>
          <w:sz w:val="24"/>
          <w:szCs w:val="24"/>
        </w:rPr>
      </w:pPr>
      <w:r>
        <w:rPr>
          <w:sz w:val="24"/>
          <w:szCs w:val="24"/>
        </w:rPr>
        <w:t>Fire Protection</w:t>
      </w:r>
    </w:p>
    <w:p>
      <w:pPr>
        <w:pStyle w:val="ListParagraph"/>
        <w:numPr>
          <w:ilvl w:val="0"/>
          <w:numId w:val="30"/>
        </w:numPr>
        <w:rPr>
          <w:sz w:val="24"/>
          <w:szCs w:val="24"/>
        </w:rPr>
      </w:pPr>
      <w:r>
        <w:rPr>
          <w:sz w:val="24"/>
          <w:szCs w:val="24"/>
        </w:rPr>
        <w:t xml:space="preserve">Site Controller </w:t>
      </w:r>
    </w:p>
    <w:p>
      <w:pPr>
        <w:pStyle w:val="ListParagraph"/>
        <w:numPr>
          <w:ilvl w:val="0"/>
          <w:numId w:val="30"/>
        </w:numPr>
        <w:rPr>
          <w:sz w:val="24"/>
          <w:szCs w:val="24"/>
        </w:rPr>
      </w:pPr>
      <w:r>
        <w:rPr>
          <w:sz w:val="24"/>
          <w:szCs w:val="24"/>
        </w:rPr>
        <w:t>Remote Operations</w:t>
      </w:r>
    </w:p>
    <w:p>
      <w:pPr>
        <w:rPr>
          <w:b/>
          <w:sz w:val="24"/>
          <w:szCs w:val="24"/>
        </w:rPr>
      </w:pPr>
      <w:r>
        <w:rPr>
          <w:b/>
          <w:sz w:val="24"/>
          <w:szCs w:val="24"/>
        </w:rPr>
        <w:t>Seismic</w:t>
      </w:r>
    </w:p>
    <w:p>
      <w:pPr>
        <w:pStyle w:val="ListParagraph"/>
        <w:widowControl w:val="0"/>
        <w:numPr>
          <w:ilvl w:val="2"/>
          <w:numId w:val="26"/>
        </w:numPr>
        <w:tabs>
          <w:tab w:val="left" w:pos="1179"/>
          <w:tab w:val="left" w:pos="1180"/>
        </w:tabs>
        <w:autoSpaceDE w:val="0"/>
        <w:autoSpaceDN w:val="0"/>
        <w:spacing w:before="240" w:after="0" w:line="240" w:lineRule="auto"/>
        <w:ind w:right="900"/>
        <w:contextualSpacing w:val="0"/>
        <w:jc w:val="both"/>
        <w:rPr>
          <w:rFonts w:ascii="Arial" w:hAnsi="Arial" w:cs="Arial"/>
          <w:sz w:val="24"/>
          <w:szCs w:val="24"/>
        </w:rPr>
      </w:pPr>
      <w:r>
        <w:rPr>
          <w:rFonts w:ascii="Arial" w:hAnsi="Arial" w:cs="Arial"/>
          <w:sz w:val="24"/>
          <w:szCs w:val="24"/>
        </w:rPr>
        <w:t>The structural and nonstructural components of all enclosures, free standing structures, and structural equipment supports shall be designed and constructed to withstand the effects of earthquake motions and seismic loading in accordance with the requirements of the State of Washington Building Code and ASCE 7-16 with supplements No. 1 &amp; 2, and adhering to the site specific geotechnical report provided by PSE with the following</w:t>
      </w:r>
      <w:r>
        <w:rPr>
          <w:rFonts w:ascii="Arial" w:hAnsi="Arial" w:cs="Arial"/>
          <w:spacing w:val="-8"/>
          <w:sz w:val="24"/>
          <w:szCs w:val="24"/>
        </w:rPr>
        <w:t xml:space="preserve"> </w:t>
      </w:r>
      <w:r>
        <w:rPr>
          <w:rFonts w:ascii="Arial" w:hAnsi="Arial" w:cs="Arial"/>
          <w:sz w:val="24"/>
          <w:szCs w:val="24"/>
        </w:rPr>
        <w:t>parameters:</w:t>
      </w:r>
    </w:p>
    <w:p>
      <w:pPr>
        <w:pStyle w:val="ListParagraph"/>
        <w:widowControl w:val="0"/>
        <w:numPr>
          <w:ilvl w:val="3"/>
          <w:numId w:val="26"/>
        </w:numPr>
        <w:tabs>
          <w:tab w:val="left" w:pos="1809"/>
          <w:tab w:val="left" w:pos="1810"/>
        </w:tabs>
        <w:autoSpaceDE w:val="0"/>
        <w:autoSpaceDN w:val="0"/>
        <w:spacing w:before="119" w:after="0" w:line="240" w:lineRule="auto"/>
        <w:contextualSpacing w:val="0"/>
        <w:rPr>
          <w:rFonts w:ascii="Arial" w:hAnsi="Arial" w:cs="Arial"/>
          <w:sz w:val="24"/>
          <w:szCs w:val="24"/>
        </w:rPr>
      </w:pPr>
      <w:r>
        <w:rPr>
          <w:rFonts w:ascii="Arial" w:hAnsi="Arial" w:cs="Arial"/>
          <w:sz w:val="24"/>
          <w:szCs w:val="24"/>
        </w:rPr>
        <w:t>Risk Category IV</w:t>
      </w:r>
    </w:p>
    <w:p>
      <w:pPr>
        <w:pStyle w:val="ListParagraph"/>
        <w:widowControl w:val="0"/>
        <w:numPr>
          <w:ilvl w:val="3"/>
          <w:numId w:val="26"/>
        </w:numPr>
        <w:tabs>
          <w:tab w:val="left" w:pos="1809"/>
          <w:tab w:val="left" w:pos="1810"/>
        </w:tabs>
        <w:autoSpaceDE w:val="0"/>
        <w:autoSpaceDN w:val="0"/>
        <w:spacing w:before="119" w:after="0" w:line="240" w:lineRule="auto"/>
        <w:contextualSpacing w:val="0"/>
        <w:rPr>
          <w:rFonts w:ascii="Arial" w:hAnsi="Arial" w:cs="Arial"/>
          <w:sz w:val="24"/>
          <w:szCs w:val="24"/>
        </w:rPr>
      </w:pPr>
      <w:r>
        <w:rPr>
          <w:rFonts w:ascii="Arial" w:hAnsi="Arial" w:cs="Arial"/>
          <w:sz w:val="24"/>
          <w:szCs w:val="24"/>
        </w:rPr>
        <w:t>Seismic Design Category</w:t>
      </w:r>
      <w:r>
        <w:rPr>
          <w:rFonts w:ascii="Arial" w:hAnsi="Arial" w:cs="Arial"/>
          <w:spacing w:val="-2"/>
          <w:sz w:val="24"/>
          <w:szCs w:val="24"/>
        </w:rPr>
        <w:t xml:space="preserve"> </w:t>
      </w:r>
      <w:r>
        <w:rPr>
          <w:rFonts w:ascii="Arial" w:hAnsi="Arial" w:cs="Arial"/>
          <w:sz w:val="24"/>
          <w:szCs w:val="24"/>
        </w:rPr>
        <w:t>D</w:t>
      </w:r>
    </w:p>
    <w:p>
      <w:pPr>
        <w:pStyle w:val="ListParagraph"/>
        <w:widowControl w:val="0"/>
        <w:numPr>
          <w:ilvl w:val="3"/>
          <w:numId w:val="26"/>
        </w:numPr>
        <w:tabs>
          <w:tab w:val="left" w:pos="1809"/>
          <w:tab w:val="left" w:pos="1810"/>
        </w:tabs>
        <w:autoSpaceDE w:val="0"/>
        <w:autoSpaceDN w:val="0"/>
        <w:spacing w:before="119" w:after="0" w:line="240" w:lineRule="auto"/>
        <w:contextualSpacing w:val="0"/>
        <w:rPr>
          <w:rFonts w:ascii="Arial" w:hAnsi="Arial" w:cs="Arial"/>
          <w:sz w:val="24"/>
          <w:szCs w:val="24"/>
        </w:rPr>
      </w:pPr>
      <w:r>
        <w:rPr>
          <w:rFonts w:ascii="Arial" w:hAnsi="Arial" w:cs="Arial"/>
          <w:sz w:val="24"/>
          <w:szCs w:val="24"/>
        </w:rPr>
        <w:t>Site Soil Class D, unless otherwise determined by the Geotechnical Engineer</w:t>
      </w:r>
    </w:p>
    <w:p>
      <w:pPr>
        <w:pStyle w:val="ListParagraph"/>
        <w:widowControl w:val="0"/>
        <w:numPr>
          <w:ilvl w:val="3"/>
          <w:numId w:val="26"/>
        </w:numPr>
        <w:tabs>
          <w:tab w:val="left" w:pos="1809"/>
          <w:tab w:val="left" w:pos="1810"/>
        </w:tabs>
        <w:autoSpaceDE w:val="0"/>
        <w:autoSpaceDN w:val="0"/>
        <w:spacing w:before="120" w:after="0" w:line="240" w:lineRule="auto"/>
        <w:contextualSpacing w:val="0"/>
        <w:rPr>
          <w:rFonts w:ascii="Arial" w:hAnsi="Arial" w:cs="Arial"/>
          <w:sz w:val="24"/>
          <w:szCs w:val="24"/>
        </w:rPr>
      </w:pPr>
      <w:r>
        <w:rPr>
          <w:rFonts w:ascii="Arial" w:hAnsi="Arial" w:cs="Arial"/>
          <w:sz w:val="24"/>
          <w:szCs w:val="24"/>
        </w:rPr>
        <w:t>Importance Factor is 1.5</w:t>
      </w:r>
    </w:p>
    <w:p>
      <w:pPr>
        <w:pStyle w:val="ListParagraph"/>
        <w:widowControl w:val="0"/>
        <w:numPr>
          <w:ilvl w:val="2"/>
          <w:numId w:val="26"/>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All material, methods and equipment shall be designed to the ‘High Seismic Qualification Level’ in accordance with IEEE 693</w:t>
      </w:r>
      <w:r>
        <w:rPr>
          <w:rFonts w:ascii="Arial" w:hAnsi="Arial" w:cs="Arial"/>
          <w:spacing w:val="-2"/>
          <w:sz w:val="24"/>
          <w:szCs w:val="24"/>
        </w:rPr>
        <w:t xml:space="preserve"> </w:t>
      </w:r>
      <w:r>
        <w:rPr>
          <w:rFonts w:ascii="Arial" w:hAnsi="Arial" w:cs="Arial"/>
          <w:sz w:val="24"/>
          <w:szCs w:val="24"/>
        </w:rPr>
        <w:t>Standard.</w:t>
      </w:r>
    </w:p>
    <w:p>
      <w:pPr>
        <w:pStyle w:val="ListParagraph"/>
        <w:widowControl w:val="0"/>
        <w:numPr>
          <w:ilvl w:val="0"/>
          <w:numId w:val="27"/>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Supplier shall provide typical anchorage drawings and indicate if anchorage is included in their scope of supply</w:t>
      </w:r>
    </w:p>
    <w:p>
      <w:pPr>
        <w:rPr>
          <w:b/>
          <w:sz w:val="24"/>
          <w:szCs w:val="24"/>
        </w:rPr>
      </w:pPr>
      <w:r>
        <w:rPr>
          <w:b/>
          <w:sz w:val="24"/>
          <w:szCs w:val="24"/>
        </w:rPr>
        <w:br w:type="page"/>
      </w:r>
    </w:p>
    <w:p>
      <w:pPr>
        <w:rPr>
          <w:b/>
          <w:sz w:val="24"/>
          <w:szCs w:val="24"/>
        </w:rPr>
      </w:pPr>
      <w:r>
        <w:rPr>
          <w:b/>
          <w:sz w:val="24"/>
          <w:szCs w:val="24"/>
        </w:rPr>
        <w:lastRenderedPageBreak/>
        <w:t>Physical Characteristics</w:t>
      </w:r>
    </w:p>
    <w:p>
      <w:pPr>
        <w:pStyle w:val="BodyText0"/>
        <w:spacing w:before="240"/>
        <w:ind w:left="460" w:right="1225"/>
        <w:jc w:val="both"/>
        <w:rPr>
          <w:rFonts w:ascii="Arial" w:hAnsi="Arial" w:cs="Arial"/>
          <w:sz w:val="24"/>
          <w:szCs w:val="24"/>
        </w:rPr>
      </w:pPr>
      <w:r>
        <w:rPr>
          <w:rFonts w:ascii="Arial" w:hAnsi="Arial" w:cs="Arial"/>
          <w:sz w:val="24"/>
          <w:szCs w:val="24"/>
        </w:rPr>
        <w:t>The BESS shall meet all applicable Occupational Safety and Health Administration (OSHA), National Electric Code (NEC), National Electrical Safety Code (NESC) IEEE, ANSI, and National Fire Protection Association (NFPA) requirements for electrical and fire safety.</w:t>
      </w:r>
    </w:p>
    <w:p>
      <w:pPr>
        <w:pStyle w:val="BodyText0"/>
        <w:ind w:left="460" w:right="1231"/>
        <w:jc w:val="both"/>
        <w:rPr>
          <w:rFonts w:ascii="Arial" w:hAnsi="Arial" w:cs="Arial"/>
          <w:sz w:val="24"/>
          <w:szCs w:val="24"/>
        </w:rPr>
      </w:pPr>
      <w:r>
        <w:rPr>
          <w:rFonts w:ascii="Arial" w:hAnsi="Arial" w:cs="Arial"/>
          <w:sz w:val="24"/>
          <w:szCs w:val="24"/>
        </w:rPr>
        <w:t>The BESS shall be designed to minimize footprint and volume. The BESS may also be designed to include subsurface components or modules, provided relevant operating and environmental factors normally addressed for submersible equipment are considered to assure full life-cycle performance requirements are met.</w:t>
      </w:r>
    </w:p>
    <w:p>
      <w:pPr>
        <w:pStyle w:val="BodyText0"/>
        <w:ind w:left="460" w:right="1250"/>
        <w:jc w:val="both"/>
        <w:rPr>
          <w:rFonts w:ascii="Arial" w:hAnsi="Arial" w:cs="Arial"/>
          <w:sz w:val="24"/>
          <w:szCs w:val="24"/>
        </w:rPr>
      </w:pPr>
      <w:r>
        <w:rPr>
          <w:rFonts w:ascii="Arial" w:hAnsi="Arial" w:cs="Arial"/>
          <w:sz w:val="24"/>
          <w:szCs w:val="24"/>
        </w:rPr>
        <w:t>The BESS components located outdoors shall be contained within weatherproof, tamper resistant, metal enclosures suitable for mounting outdoors on concrete foundations with a minimum NEMA 3R rating.</w:t>
      </w:r>
    </w:p>
    <w:p>
      <w:pPr>
        <w:pStyle w:val="BodyText0"/>
        <w:ind w:left="460" w:right="720"/>
        <w:jc w:val="both"/>
        <w:rPr>
          <w:rFonts w:ascii="Arial" w:hAnsi="Arial" w:cs="Arial"/>
          <w:sz w:val="24"/>
          <w:szCs w:val="24"/>
        </w:rPr>
      </w:pPr>
      <w:r>
        <w:rPr>
          <w:rFonts w:ascii="Arial" w:hAnsi="Arial" w:cs="Arial"/>
          <w:sz w:val="24"/>
          <w:szCs w:val="24"/>
        </w:rPr>
        <w:t>The enclosures shall be rust-resistant.</w:t>
      </w:r>
    </w:p>
    <w:p>
      <w:pPr>
        <w:pStyle w:val="BodyText0"/>
        <w:ind w:left="460" w:right="720"/>
        <w:jc w:val="both"/>
        <w:rPr>
          <w:rFonts w:ascii="Arial" w:hAnsi="Arial" w:cs="Arial"/>
          <w:sz w:val="24"/>
          <w:szCs w:val="24"/>
        </w:rPr>
      </w:pPr>
      <w:r>
        <w:rPr>
          <w:rFonts w:ascii="Arial" w:hAnsi="Arial" w:cs="Arial"/>
          <w:sz w:val="24"/>
          <w:szCs w:val="24"/>
        </w:rPr>
        <w:t xml:space="preserve">Any enclosures shall be dust tight to at least the NEMA 3R rating, except as designed to allow forced air exchange with the atmosphere. Screen vents with metal screens to prevent ingress of insects and rodents. Plug conduits with duct seal for same as well as water ingress. </w:t>
      </w:r>
    </w:p>
    <w:p>
      <w:pPr>
        <w:pStyle w:val="BodyText0"/>
        <w:ind w:left="460" w:right="720"/>
        <w:jc w:val="both"/>
        <w:rPr>
          <w:rFonts w:ascii="Arial" w:hAnsi="Arial" w:cs="Arial"/>
          <w:sz w:val="24"/>
          <w:szCs w:val="24"/>
        </w:rPr>
      </w:pPr>
      <w:r>
        <w:rPr>
          <w:rFonts w:ascii="Arial" w:hAnsi="Arial" w:cs="Arial"/>
          <w:sz w:val="24"/>
          <w:szCs w:val="24"/>
        </w:rPr>
        <w:t>The BESS shall be designed to operate with minimal maintenance for the specified life of the Project. A nameplate shall be provided including:</w:t>
      </w:r>
    </w:p>
    <w:p>
      <w:pPr>
        <w:pStyle w:val="ListParagraph"/>
        <w:widowControl w:val="0"/>
        <w:numPr>
          <w:ilvl w:val="0"/>
          <w:numId w:val="28"/>
        </w:numPr>
        <w:tabs>
          <w:tab w:val="left" w:pos="1179"/>
          <w:tab w:val="left" w:pos="1180"/>
        </w:tabs>
        <w:autoSpaceDE w:val="0"/>
        <w:autoSpaceDN w:val="0"/>
        <w:spacing w:after="0" w:line="240" w:lineRule="auto"/>
        <w:ind w:right="720"/>
        <w:contextualSpacing w:val="0"/>
        <w:jc w:val="both"/>
        <w:rPr>
          <w:rFonts w:ascii="Arial" w:hAnsi="Arial" w:cs="Arial"/>
          <w:sz w:val="24"/>
          <w:szCs w:val="24"/>
        </w:rPr>
      </w:pPr>
      <w:r>
        <w:rPr>
          <w:rFonts w:ascii="Arial" w:hAnsi="Arial" w:cs="Arial"/>
          <w:sz w:val="24"/>
          <w:szCs w:val="24"/>
        </w:rPr>
        <w:t>Manufacturer</w:t>
      </w:r>
      <w:r>
        <w:rPr>
          <w:rFonts w:ascii="Arial" w:hAnsi="Arial" w:cs="Arial"/>
          <w:spacing w:val="-5"/>
          <w:sz w:val="24"/>
          <w:szCs w:val="24"/>
        </w:rPr>
        <w:t xml:space="preserve"> </w:t>
      </w:r>
      <w:r>
        <w:rPr>
          <w:rFonts w:ascii="Arial" w:hAnsi="Arial" w:cs="Arial"/>
          <w:sz w:val="24"/>
          <w:szCs w:val="24"/>
        </w:rPr>
        <w:t>Name</w:t>
      </w:r>
    </w:p>
    <w:p>
      <w:pPr>
        <w:pStyle w:val="ListParagraph"/>
        <w:widowControl w:val="0"/>
        <w:numPr>
          <w:ilvl w:val="0"/>
          <w:numId w:val="28"/>
        </w:numPr>
        <w:tabs>
          <w:tab w:val="left" w:pos="1179"/>
          <w:tab w:val="left" w:pos="1180"/>
        </w:tabs>
        <w:autoSpaceDE w:val="0"/>
        <w:autoSpaceDN w:val="0"/>
        <w:spacing w:before="120" w:after="0" w:line="240" w:lineRule="auto"/>
        <w:ind w:right="720"/>
        <w:contextualSpacing w:val="0"/>
        <w:jc w:val="both"/>
        <w:rPr>
          <w:rFonts w:ascii="Arial" w:hAnsi="Arial" w:cs="Arial"/>
          <w:sz w:val="24"/>
          <w:szCs w:val="24"/>
        </w:rPr>
      </w:pPr>
      <w:r>
        <w:rPr>
          <w:rFonts w:ascii="Arial" w:hAnsi="Arial" w:cs="Arial"/>
          <w:sz w:val="24"/>
          <w:szCs w:val="24"/>
        </w:rPr>
        <w:t>Connection</w:t>
      </w:r>
      <w:r>
        <w:rPr>
          <w:rFonts w:ascii="Arial" w:hAnsi="Arial" w:cs="Arial"/>
          <w:spacing w:val="-1"/>
          <w:sz w:val="24"/>
          <w:szCs w:val="24"/>
        </w:rPr>
        <w:t xml:space="preserve"> </w:t>
      </w:r>
      <w:r>
        <w:rPr>
          <w:rFonts w:ascii="Arial" w:hAnsi="Arial" w:cs="Arial"/>
          <w:sz w:val="24"/>
          <w:szCs w:val="24"/>
        </w:rPr>
        <w:t>diagram</w:t>
      </w:r>
    </w:p>
    <w:p>
      <w:pPr>
        <w:pStyle w:val="ListParagraph"/>
        <w:widowControl w:val="0"/>
        <w:numPr>
          <w:ilvl w:val="0"/>
          <w:numId w:val="28"/>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BESS ratings; Power, energy, voltage,</w:t>
      </w:r>
      <w:r>
        <w:rPr>
          <w:rFonts w:ascii="Arial" w:hAnsi="Arial" w:cs="Arial"/>
          <w:spacing w:val="-2"/>
          <w:sz w:val="24"/>
          <w:szCs w:val="24"/>
        </w:rPr>
        <w:t xml:space="preserve"> </w:t>
      </w:r>
      <w:r>
        <w:rPr>
          <w:rFonts w:ascii="Arial" w:hAnsi="Arial" w:cs="Arial"/>
          <w:sz w:val="24"/>
          <w:szCs w:val="24"/>
        </w:rPr>
        <w:t>BIL</w:t>
      </w:r>
    </w:p>
    <w:p>
      <w:pPr>
        <w:pStyle w:val="ListParagraph"/>
        <w:widowControl w:val="0"/>
        <w:numPr>
          <w:ilvl w:val="0"/>
          <w:numId w:val="28"/>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Specimen data; serial number, date of</w:t>
      </w:r>
      <w:r>
        <w:rPr>
          <w:rFonts w:ascii="Arial" w:hAnsi="Arial" w:cs="Arial"/>
          <w:spacing w:val="-2"/>
          <w:sz w:val="24"/>
          <w:szCs w:val="24"/>
        </w:rPr>
        <w:t xml:space="preserve"> </w:t>
      </w:r>
      <w:r>
        <w:rPr>
          <w:rFonts w:ascii="Arial" w:hAnsi="Arial" w:cs="Arial"/>
          <w:sz w:val="24"/>
          <w:szCs w:val="24"/>
        </w:rPr>
        <w:t>manufacture</w:t>
      </w:r>
    </w:p>
    <w:p>
      <w:pPr>
        <w:pStyle w:val="ListParagraph"/>
        <w:widowControl w:val="0"/>
        <w:numPr>
          <w:ilvl w:val="0"/>
          <w:numId w:val="28"/>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The nameplate shall meet the requirements of IEEE</w:t>
      </w:r>
      <w:r>
        <w:rPr>
          <w:rFonts w:ascii="Arial" w:hAnsi="Arial" w:cs="Arial"/>
          <w:spacing w:val="-3"/>
          <w:sz w:val="24"/>
          <w:szCs w:val="24"/>
        </w:rPr>
        <w:t xml:space="preserve"> </w:t>
      </w:r>
      <w:r>
        <w:rPr>
          <w:rFonts w:ascii="Arial" w:hAnsi="Arial" w:cs="Arial"/>
          <w:sz w:val="24"/>
          <w:szCs w:val="24"/>
        </w:rPr>
        <w:t>C57.12.00</w:t>
      </w:r>
    </w:p>
    <w:p>
      <w:pPr>
        <w:pStyle w:val="BodyText0"/>
        <w:spacing w:before="9"/>
        <w:ind w:right="720"/>
        <w:jc w:val="both"/>
        <w:rPr>
          <w:rFonts w:ascii="Arial" w:hAnsi="Arial" w:cs="Arial"/>
          <w:sz w:val="24"/>
          <w:szCs w:val="24"/>
        </w:rPr>
      </w:pPr>
    </w:p>
    <w:p>
      <w:pPr>
        <w:pStyle w:val="BodyText0"/>
        <w:spacing w:before="1"/>
        <w:ind w:left="460" w:right="720"/>
        <w:jc w:val="both"/>
        <w:rPr>
          <w:rFonts w:ascii="Arial" w:hAnsi="Arial" w:cs="Arial"/>
          <w:sz w:val="24"/>
          <w:szCs w:val="24"/>
        </w:rPr>
      </w:pPr>
      <w:r>
        <w:rPr>
          <w:rFonts w:ascii="Arial" w:hAnsi="Arial" w:cs="Arial"/>
          <w:sz w:val="24"/>
          <w:szCs w:val="24"/>
        </w:rPr>
        <w:t>All necessary safety signs and warnings as described in ANSI Z535-2002 (entire series from Z535.1 through Z535.6) shall be included on the building, shelter or each enclosure. All necessary signs and warnings for identification of hazardous materials as described in NFPA 704 shall be included on the building, shelter or each enclosure. All necessary signs and warnings as required by CFC 608, as applicable, shall be included.</w:t>
      </w:r>
      <w:bookmarkStart w:id="2" w:name="4.8_Cycle_Life"/>
      <w:bookmarkEnd w:id="2"/>
    </w:p>
    <w:p>
      <w:pPr>
        <w:rPr>
          <w:b/>
          <w:sz w:val="24"/>
          <w:szCs w:val="24"/>
        </w:rPr>
      </w:pPr>
    </w:p>
    <w:p>
      <w:pPr>
        <w:rPr>
          <w:b/>
          <w:sz w:val="24"/>
          <w:szCs w:val="24"/>
        </w:rPr>
      </w:pPr>
      <w:r>
        <w:rPr>
          <w:b/>
          <w:sz w:val="24"/>
          <w:szCs w:val="24"/>
        </w:rPr>
        <w:br w:type="page"/>
      </w:r>
    </w:p>
    <w:p>
      <w:pPr>
        <w:rPr>
          <w:b/>
          <w:sz w:val="24"/>
          <w:szCs w:val="24"/>
        </w:rPr>
      </w:pPr>
      <w:r>
        <w:rPr>
          <w:b/>
          <w:sz w:val="24"/>
          <w:szCs w:val="24"/>
        </w:rPr>
        <w:lastRenderedPageBreak/>
        <w:t>Fire Protection</w:t>
      </w:r>
    </w:p>
    <w:p>
      <w:pPr>
        <w:pStyle w:val="Body"/>
        <w:ind w:left="342"/>
        <w:rPr>
          <w:rFonts w:ascii="Arial" w:hAnsi="Arial" w:cs="Arial"/>
          <w:sz w:val="24"/>
          <w:szCs w:val="24"/>
        </w:rPr>
      </w:pPr>
      <w:r>
        <w:rPr>
          <w:rFonts w:ascii="Arial" w:hAnsi="Arial" w:cs="Arial"/>
          <w:sz w:val="24"/>
          <w:szCs w:val="24"/>
        </w:rPr>
        <w:t xml:space="preserve">The Supplier shall provide fire protection system for the complete BESS system in accordance with NFPA 855 “Standard for the Installation of Stationary Energy Storage Systems” and the latest approved revision of the applicable local fire protection codes.  All designs shall include a Hazard Mitigation Analysis, (HMA).  All HMA’s shall consist of equipment-specific Failure Mode and Effects Analysis (FMEA) and site-specific Fire Risk Assessment (FRA).  All designs shall have the approval of the AHJ.  State and local laws, codes, and/or regulations specific to BESS shall apply.  </w:t>
      </w:r>
    </w:p>
    <w:p>
      <w:pPr>
        <w:pStyle w:val="Body"/>
        <w:ind w:left="342"/>
        <w:rPr>
          <w:rFonts w:ascii="Arial" w:hAnsi="Arial" w:cs="Arial"/>
          <w:sz w:val="24"/>
          <w:szCs w:val="24"/>
        </w:rPr>
      </w:pPr>
      <w:r>
        <w:rPr>
          <w:rFonts w:ascii="Arial" w:hAnsi="Arial" w:cs="Arial"/>
          <w:sz w:val="24"/>
          <w:szCs w:val="24"/>
        </w:rPr>
        <w:t xml:space="preserve">The Supplier shall comply with NFPA coordination, design, installation, </w:t>
      </w:r>
      <w:proofErr w:type="gramStart"/>
      <w:r>
        <w:rPr>
          <w:rFonts w:ascii="Arial" w:hAnsi="Arial" w:cs="Arial"/>
          <w:sz w:val="24"/>
          <w:szCs w:val="24"/>
        </w:rPr>
        <w:t>commissioning</w:t>
      </w:r>
      <w:proofErr w:type="gramEnd"/>
      <w:r>
        <w:rPr>
          <w:rFonts w:ascii="Arial" w:hAnsi="Arial" w:cs="Arial"/>
          <w:sz w:val="24"/>
          <w:szCs w:val="24"/>
        </w:rPr>
        <w:t>, testing, training and startup requirements.  This shall include all other requirements as outlined in this specification.  Fire Protection system design shall include, but not be limited to, the following:</w:t>
      </w:r>
    </w:p>
    <w:p>
      <w:pPr>
        <w:pStyle w:val="Body"/>
        <w:numPr>
          <w:ilvl w:val="0"/>
          <w:numId w:val="29"/>
        </w:numPr>
        <w:ind w:left="1062"/>
        <w:rPr>
          <w:rFonts w:ascii="Arial" w:hAnsi="Arial" w:cs="Arial"/>
          <w:sz w:val="24"/>
          <w:szCs w:val="24"/>
        </w:rPr>
      </w:pPr>
      <w:r>
        <w:rPr>
          <w:rFonts w:ascii="Arial" w:hAnsi="Arial" w:cs="Arial"/>
          <w:sz w:val="24"/>
          <w:szCs w:val="24"/>
        </w:rPr>
        <w:t>The Supplier shall possess a completed Large Scale Fire Testing of the proposed BESS in accordance with UL 9540A as required by the NFPA 855 Code.  The supplier shall provide the approved test results along with the required separation distances per the testing completed.</w:t>
      </w:r>
    </w:p>
    <w:p>
      <w:pPr>
        <w:pStyle w:val="Body"/>
        <w:numPr>
          <w:ilvl w:val="0"/>
          <w:numId w:val="29"/>
        </w:numPr>
        <w:ind w:left="1062"/>
        <w:rPr>
          <w:rFonts w:ascii="Arial" w:hAnsi="Arial" w:cs="Arial"/>
          <w:sz w:val="24"/>
          <w:szCs w:val="24"/>
        </w:rPr>
      </w:pPr>
      <w:r>
        <w:rPr>
          <w:rFonts w:ascii="Arial" w:hAnsi="Arial" w:cs="Arial"/>
          <w:sz w:val="24"/>
          <w:szCs w:val="24"/>
        </w:rPr>
        <w:t>The Supplier shall provide the competed Hazard Mitigation Analysis for the proposed BESS as required by Section 4.14 of the NFPA 855 Code.</w:t>
      </w:r>
    </w:p>
    <w:p>
      <w:pPr>
        <w:pStyle w:val="Body"/>
        <w:numPr>
          <w:ilvl w:val="0"/>
          <w:numId w:val="29"/>
        </w:numPr>
        <w:rPr>
          <w:rFonts w:ascii="Arial" w:hAnsi="Arial" w:cs="Arial"/>
          <w:sz w:val="24"/>
          <w:szCs w:val="24"/>
        </w:rPr>
      </w:pPr>
      <w:r>
        <w:rPr>
          <w:rFonts w:ascii="Arial" w:hAnsi="Arial" w:cs="Arial"/>
          <w:sz w:val="24"/>
          <w:szCs w:val="24"/>
        </w:rPr>
        <w:t>The battery container design shall be in accordance with NFPA requirements for location, separation, materials of construction, ventilation, smoke or flammable conditions detection, fire suppression, communications/alarms, training, commissioning, permitting, and documentation.</w:t>
      </w:r>
    </w:p>
    <w:p>
      <w:pPr>
        <w:pStyle w:val="Body"/>
        <w:numPr>
          <w:ilvl w:val="0"/>
          <w:numId w:val="29"/>
        </w:numPr>
        <w:rPr>
          <w:rFonts w:ascii="Arial" w:hAnsi="Arial" w:cs="Arial"/>
          <w:sz w:val="24"/>
          <w:szCs w:val="24"/>
        </w:rPr>
      </w:pPr>
      <w:r>
        <w:rPr>
          <w:rFonts w:ascii="Arial" w:hAnsi="Arial" w:cs="Arial"/>
          <w:sz w:val="24"/>
          <w:szCs w:val="24"/>
        </w:rPr>
        <w:t>The Supplier shall perform an explosion study based on data from UL9540A testing to develop the Explosion Control mitigation design. The Supplier shall provide all design data used in the design.</w:t>
      </w:r>
    </w:p>
    <w:p>
      <w:pPr>
        <w:pStyle w:val="Body"/>
        <w:numPr>
          <w:ilvl w:val="0"/>
          <w:numId w:val="29"/>
        </w:numPr>
        <w:rPr>
          <w:rFonts w:ascii="Arial" w:hAnsi="Arial" w:cs="Arial"/>
          <w:sz w:val="24"/>
          <w:szCs w:val="24"/>
        </w:rPr>
      </w:pPr>
      <w:r>
        <w:rPr>
          <w:rFonts w:ascii="Arial" w:hAnsi="Arial" w:cs="Arial"/>
          <w:sz w:val="24"/>
          <w:szCs w:val="24"/>
        </w:rPr>
        <w:t>Supplier will provide the potential combustion products and quantities for the batteries selected to be used with the BESS system.</w:t>
      </w:r>
    </w:p>
    <w:p>
      <w:pPr>
        <w:pStyle w:val="Body"/>
        <w:numPr>
          <w:ilvl w:val="0"/>
          <w:numId w:val="29"/>
        </w:numPr>
        <w:rPr>
          <w:rFonts w:ascii="Arial" w:hAnsi="Arial" w:cs="Arial"/>
          <w:sz w:val="24"/>
          <w:szCs w:val="24"/>
        </w:rPr>
      </w:pPr>
      <w:r>
        <w:rPr>
          <w:rFonts w:ascii="Arial" w:hAnsi="Arial" w:cs="Arial"/>
          <w:sz w:val="24"/>
          <w:szCs w:val="24"/>
        </w:rPr>
        <w:t>The Supplier shall provide a price for a lithium ion battery fault detector utilizing an off-gas sensing system that will detect off-gassing at the cell level. This system shall be integrated into the Supplier’s control system and/or site controller.</w:t>
      </w:r>
    </w:p>
    <w:p>
      <w:pPr>
        <w:rPr>
          <w:rFonts w:ascii="Arial" w:eastAsia="Times New Roman" w:hAnsi="Arial" w:cs="Arial"/>
          <w:sz w:val="24"/>
          <w:szCs w:val="24"/>
        </w:rPr>
      </w:pPr>
      <w:r>
        <w:rPr>
          <w:rFonts w:ascii="Arial" w:hAnsi="Arial" w:cs="Arial"/>
          <w:sz w:val="24"/>
          <w:szCs w:val="24"/>
        </w:rPr>
        <w:br w:type="page"/>
      </w:r>
    </w:p>
    <w:p>
      <w:pPr>
        <w:rPr>
          <w:b/>
          <w:sz w:val="24"/>
          <w:szCs w:val="24"/>
        </w:rPr>
      </w:pPr>
      <w:r>
        <w:rPr>
          <w:b/>
          <w:sz w:val="24"/>
          <w:szCs w:val="24"/>
        </w:rPr>
        <w:lastRenderedPageBreak/>
        <w:t>Site Controller (SC)</w:t>
      </w:r>
    </w:p>
    <w:p>
      <w:pPr>
        <w:pStyle w:val="BodyText0"/>
        <w:spacing w:before="240"/>
        <w:ind w:right="720"/>
        <w:jc w:val="both"/>
        <w:rPr>
          <w:rFonts w:ascii="Arial" w:hAnsi="Arial" w:cs="Arial"/>
          <w:sz w:val="24"/>
          <w:szCs w:val="24"/>
        </w:rPr>
      </w:pPr>
      <w:r>
        <w:rPr>
          <w:rFonts w:ascii="Arial" w:hAnsi="Arial" w:cs="Arial"/>
          <w:sz w:val="24"/>
          <w:szCs w:val="24"/>
        </w:rPr>
        <w:t>The BESS shall include all necessary software applications and supporting hardware required to meet the specified functional requirements. Software algorithms, external data input capabilities, and user interfaces shall provide for specified variable input or set point values, as well as external data value streams required from the Owner’s Local Area Controller directing the BESS operations.</w:t>
      </w:r>
    </w:p>
    <w:p>
      <w:pPr>
        <w:pStyle w:val="BodyText0"/>
        <w:spacing w:before="1"/>
        <w:ind w:right="720"/>
        <w:jc w:val="both"/>
        <w:rPr>
          <w:rFonts w:ascii="Arial" w:hAnsi="Arial" w:cs="Arial"/>
          <w:sz w:val="24"/>
          <w:szCs w:val="24"/>
        </w:rPr>
      </w:pPr>
      <w:r>
        <w:rPr>
          <w:rFonts w:ascii="Arial" w:hAnsi="Arial" w:cs="Arial"/>
          <w:sz w:val="24"/>
          <w:szCs w:val="24"/>
        </w:rPr>
        <w:t>The BESS shall include the necessary communication and telemetry hardware, and support communications protocols, to effectively provide the required services. No single mode of failure shall result in loss of power to the control and data acquisition module. The control shall include provisions for an orderly and safe shutdown in the absence of utility power.</w:t>
      </w:r>
    </w:p>
    <w:p>
      <w:pPr>
        <w:pStyle w:val="BodyText0"/>
        <w:spacing w:before="3"/>
        <w:rPr>
          <w:rFonts w:ascii="Arial" w:hAnsi="Arial" w:cs="Arial"/>
          <w:sz w:val="24"/>
          <w:szCs w:val="24"/>
        </w:rPr>
      </w:pPr>
      <w:r>
        <w:rPr>
          <w:rFonts w:ascii="Arial" w:hAnsi="Arial" w:cs="Arial"/>
          <w:sz w:val="24"/>
          <w:szCs w:val="24"/>
        </w:rPr>
        <w:t xml:space="preserve">The SC shall use DNP/IP, NGVL, </w:t>
      </w:r>
      <w:proofErr w:type="gramStart"/>
      <w:r>
        <w:rPr>
          <w:rFonts w:ascii="Arial" w:hAnsi="Arial" w:cs="Arial"/>
          <w:sz w:val="24"/>
          <w:szCs w:val="24"/>
        </w:rPr>
        <w:t>IEC</w:t>
      </w:r>
      <w:proofErr w:type="gramEnd"/>
      <w:r>
        <w:rPr>
          <w:rFonts w:ascii="Arial" w:hAnsi="Arial" w:cs="Arial"/>
          <w:sz w:val="24"/>
          <w:szCs w:val="24"/>
        </w:rPr>
        <w:t xml:space="preserve"> 61850 MMS/Goose protocol to interface with Owner's Local Area Controller. All passwords and settings shall be turned over to the Owner after completion of the project The Owner’s preference of a Site Controller is a SEL-3555 RTAC platform on an SEL </w:t>
      </w:r>
      <w:proofErr w:type="spellStart"/>
      <w:r>
        <w:rPr>
          <w:rFonts w:ascii="Arial" w:hAnsi="Arial" w:cs="Arial"/>
          <w:sz w:val="24"/>
          <w:szCs w:val="24"/>
        </w:rPr>
        <w:t>Axion</w:t>
      </w:r>
      <w:proofErr w:type="spellEnd"/>
      <w:r>
        <w:rPr>
          <w:rFonts w:ascii="Arial" w:hAnsi="Arial" w:cs="Arial"/>
          <w:sz w:val="24"/>
          <w:szCs w:val="24"/>
        </w:rPr>
        <w:t xml:space="preserve"> chassis.</w:t>
      </w:r>
    </w:p>
    <w:p>
      <w:pPr>
        <w:rPr>
          <w:b/>
          <w:sz w:val="24"/>
          <w:szCs w:val="24"/>
        </w:rPr>
      </w:pPr>
    </w:p>
    <w:p>
      <w:pPr>
        <w:rPr>
          <w:b/>
          <w:sz w:val="24"/>
          <w:szCs w:val="24"/>
        </w:rPr>
      </w:pPr>
      <w:r>
        <w:rPr>
          <w:noProof/>
          <w:sz w:val="24"/>
          <w:szCs w:val="24"/>
        </w:rPr>
        <w:drawing>
          <wp:inline distT="0" distB="0" distL="0" distR="0">
            <wp:extent cx="5943600" cy="3246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46120"/>
                    </a:xfrm>
                    <a:prstGeom prst="rect">
                      <a:avLst/>
                    </a:prstGeom>
                  </pic:spPr>
                </pic:pic>
              </a:graphicData>
            </a:graphic>
          </wp:inline>
        </w:drawing>
      </w:r>
    </w:p>
    <w:p>
      <w:pPr>
        <w:rPr>
          <w:b/>
          <w:sz w:val="24"/>
          <w:szCs w:val="24"/>
        </w:rPr>
      </w:pPr>
      <w:r>
        <w:rPr>
          <w:b/>
          <w:sz w:val="24"/>
          <w:szCs w:val="24"/>
        </w:rPr>
        <w:br w:type="page"/>
      </w:r>
    </w:p>
    <w:p>
      <w:pPr>
        <w:rPr>
          <w:b/>
          <w:sz w:val="24"/>
          <w:szCs w:val="24"/>
        </w:rPr>
      </w:pPr>
      <w:r>
        <w:rPr>
          <w:b/>
          <w:sz w:val="24"/>
          <w:szCs w:val="24"/>
        </w:rPr>
        <w:lastRenderedPageBreak/>
        <w:t>Remote Operations</w:t>
      </w:r>
    </w:p>
    <w:p>
      <w:pPr>
        <w:pStyle w:val="BodyText0"/>
        <w:ind w:right="720"/>
        <w:jc w:val="both"/>
        <w:rPr>
          <w:rFonts w:ascii="Arial" w:hAnsi="Arial" w:cs="Arial"/>
          <w:sz w:val="24"/>
          <w:szCs w:val="24"/>
        </w:rPr>
      </w:pPr>
      <w:r>
        <w:rPr>
          <w:rFonts w:ascii="Arial" w:hAnsi="Arial" w:cs="Arial"/>
          <w:sz w:val="24"/>
          <w:szCs w:val="24"/>
        </w:rPr>
        <w:t>The BESS shall provide a single interface with which the Owner can communicate. All commands, feedbacks, information, statuses, and alarms from all system components or subsystems (fire suppression and/or HVAC included) shall be conveyed via DNP/IP, NGVL, or IEC 61850 MMS/GOOSE connection from the SC to the Owner’s Local Area Controller. Single interface must have a minimum of four fiber ports and four copper ports or a network switch (Cisco IE4XXXX family) which provides the specified number of ports. Refer to the diagram below to illustrate the control concept.</w:t>
      </w:r>
    </w:p>
    <w:p>
      <w:pPr>
        <w:pStyle w:val="BodyText0"/>
        <w:ind w:right="720"/>
        <w:jc w:val="both"/>
        <w:rPr>
          <w:rFonts w:ascii="Arial" w:hAnsi="Arial" w:cs="Arial"/>
          <w:sz w:val="24"/>
          <w:szCs w:val="24"/>
        </w:rPr>
      </w:pPr>
      <w:r>
        <w:rPr>
          <w:rFonts w:ascii="Arial" w:hAnsi="Arial" w:cs="Arial"/>
          <w:sz w:val="24"/>
          <w:szCs w:val="24"/>
        </w:rPr>
        <w:t>The SC shall be able to respond to manual commands that are issued remotely by an external supervisory controller using DNP/IP, NGVL, or IEC 61850 MMS/GOOSE protocol. Commands sent to the SC may come from other applications within a larger Distributed Energy Resource hierarchy.</w:t>
      </w:r>
    </w:p>
    <w:p>
      <w:pPr>
        <w:pStyle w:val="BodyText0"/>
        <w:ind w:right="720"/>
        <w:jc w:val="both"/>
        <w:rPr>
          <w:rFonts w:ascii="Arial" w:hAnsi="Arial" w:cs="Arial"/>
          <w:sz w:val="24"/>
          <w:szCs w:val="24"/>
        </w:rPr>
      </w:pPr>
      <w:r>
        <w:rPr>
          <w:rFonts w:ascii="Arial" w:hAnsi="Arial" w:cs="Arial"/>
          <w:sz w:val="24"/>
          <w:szCs w:val="24"/>
        </w:rPr>
        <w:t xml:space="preserve">The BESS shall remain functional in the absence or loss of communication from the remote controller. The BESS shall continue its current mode of operation and follow commands for the last available </w:t>
      </w:r>
      <w:proofErr w:type="spellStart"/>
      <w:r>
        <w:rPr>
          <w:rFonts w:ascii="Arial" w:hAnsi="Arial" w:cs="Arial"/>
          <w:sz w:val="24"/>
          <w:szCs w:val="24"/>
        </w:rPr>
        <w:t>setpoints</w:t>
      </w:r>
      <w:proofErr w:type="spellEnd"/>
      <w:r>
        <w:rPr>
          <w:rFonts w:ascii="Arial" w:hAnsi="Arial" w:cs="Arial"/>
          <w:sz w:val="24"/>
          <w:szCs w:val="24"/>
        </w:rPr>
        <w:t xml:space="preserve"> for a user definable time period (15 minute default). On expiration of the time, the BESS shall maintain current state of charge.</w:t>
      </w:r>
    </w:p>
    <w:p>
      <w:pPr>
        <w:pStyle w:val="BodyText0"/>
        <w:ind w:right="720"/>
        <w:jc w:val="both"/>
        <w:rPr>
          <w:rFonts w:ascii="Arial" w:hAnsi="Arial" w:cs="Arial"/>
          <w:sz w:val="24"/>
          <w:szCs w:val="24"/>
        </w:rPr>
      </w:pPr>
      <w:r>
        <w:rPr>
          <w:rFonts w:ascii="Arial" w:hAnsi="Arial" w:cs="Arial"/>
          <w:sz w:val="24"/>
          <w:szCs w:val="24"/>
        </w:rPr>
        <w:t>During an interruption to communications, the remote controller will make repeated attempts to re- establish communications at a set time interval (default of 5 minutes). When communications have been re-established, the BESS and remote controller shall make any necessary updates to resume performance.</w:t>
      </w:r>
    </w:p>
    <w:p>
      <w:pPr>
        <w:pStyle w:val="BodyText0"/>
        <w:ind w:right="720"/>
        <w:jc w:val="both"/>
        <w:rPr>
          <w:rFonts w:ascii="Arial" w:hAnsi="Arial" w:cs="Arial"/>
          <w:sz w:val="24"/>
          <w:szCs w:val="24"/>
        </w:rPr>
      </w:pPr>
      <w:r>
        <w:rPr>
          <w:rFonts w:ascii="Arial" w:hAnsi="Arial" w:cs="Arial"/>
          <w:sz w:val="24"/>
          <w:szCs w:val="24"/>
        </w:rPr>
        <w:t>A “Local/Remote” control function shall be provided as a manual switch so that the operator may allow or inhibit remote commands. The SC shall log the source of each command (i.e., HMI/Operator Name, Remote). The source of the current active command shall also be displayed in the HMI.</w:t>
      </w:r>
    </w:p>
    <w:p>
      <w:pPr>
        <w:rPr>
          <w:b/>
          <w:sz w:val="24"/>
          <w:szCs w:val="24"/>
        </w:rPr>
      </w:pPr>
    </w:p>
    <w:p>
      <w:pPr>
        <w:rPr>
          <w:b/>
          <w:sz w:val="24"/>
          <w:szCs w:val="24"/>
        </w:rPr>
      </w:pPr>
      <w:r>
        <w:rPr>
          <w:b/>
          <w:sz w:val="24"/>
          <w:szCs w:val="24"/>
        </w:rPr>
        <w:br w:type="page"/>
      </w:r>
    </w:p>
    <w:p>
      <w:pPr>
        <w:rPr>
          <w:b/>
          <w:sz w:val="24"/>
          <w:szCs w:val="24"/>
        </w:rPr>
      </w:pPr>
      <w:r>
        <w:rPr>
          <w:b/>
          <w:sz w:val="24"/>
          <w:szCs w:val="24"/>
        </w:rPr>
        <w:lastRenderedPageBreak/>
        <w:t>Applicable Codes &amp; Standards</w:t>
      </w:r>
    </w:p>
    <w:tbl>
      <w:tblPr>
        <w:tblW w:w="0" w:type="auto"/>
        <w:tblLook w:val="04A0" w:firstRow="1" w:lastRow="0" w:firstColumn="1" w:lastColumn="0" w:noHBand="0" w:noVBand="1"/>
      </w:tblPr>
      <w:tblGrid>
        <w:gridCol w:w="1638"/>
        <w:gridCol w:w="7702"/>
      </w:tblGrid>
      <w:tr>
        <w:trPr>
          <w:trHeight w:val="430"/>
        </w:trPr>
        <w:tc>
          <w:tcPr>
            <w:tcW w:w="15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ANSI/IEEE C2</w:t>
            </w:r>
          </w:p>
        </w:tc>
        <w:tc>
          <w:tcPr>
            <w:tcW w:w="7839" w:type="dxa"/>
            <w:tcBorders>
              <w:top w:val="single" w:sz="8" w:space="0" w:color="000000"/>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National Electric Safety Code</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519</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IEEE Recommended Practices and Requirements for harmonic Control in Electrical Power Systems</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1547-2018</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IEEE Standard for Interconnecting Distributed Resources with Electric Power Systems</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1547.1</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Conformance Test Procedure for Equipment Interconnecting Distributed Resources with Electric Power Systems</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1547.2</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Interconnecting Distributed Resources with Electric Power Systems</w:t>
            </w:r>
          </w:p>
        </w:tc>
      </w:tr>
      <w:tr>
        <w:trPr>
          <w:trHeight w:val="61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1547.3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Guide for Monitoring, Information Exchange, and Control of Distributed Resources Interconnected with Electric Power Systems</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 Z535</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Product Safety Signs and Labels</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 C57/IEEE</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Transformer Standards, whenever applicable</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 C37/IEEE</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Surge withstand capabilities, whenever applicable</w:t>
            </w:r>
          </w:p>
        </w:tc>
      </w:tr>
      <w:tr>
        <w:trPr>
          <w:trHeight w:val="61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1642/IEC 62133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Applicable sections related to battery cell safety, where applicable</w:t>
            </w:r>
          </w:p>
        </w:tc>
      </w:tr>
      <w:tr>
        <w:trPr>
          <w:trHeight w:val="61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1741</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for Inverters, Converters, Controllers and Interconnection System Equipment for Use with Distributed Energy Resources.  Also, Supplemental A is to be included.</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NFPA 704</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System for the Identification of the Hazards of Materials for Emergency Response</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1778</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Underwriters Laboratory’s Standard for Uninterruptible Power Systems (UPS) for up to 600V A.C.</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1973</w:t>
            </w:r>
          </w:p>
        </w:tc>
        <w:tc>
          <w:tcPr>
            <w:tcW w:w="7839" w:type="dxa"/>
            <w:tcBorders>
              <w:top w:val="nil"/>
              <w:left w:val="nil"/>
              <w:bottom w:val="single" w:sz="8" w:space="0" w:color="000000"/>
              <w:right w:val="single" w:sz="8" w:space="0" w:color="000000"/>
            </w:tcBorders>
            <w:shd w:val="clear" w:color="auto" w:fill="auto"/>
            <w:vAlign w:val="center"/>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Standards for Batteries for Use in Light Electric Rail Applications and Stationary Applications</w:t>
            </w:r>
          </w:p>
        </w:tc>
      </w:tr>
      <w:tr>
        <w:trPr>
          <w:trHeight w:val="1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9540/9540A</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for Energy Storage Systems and Equipment</w:t>
            </w:r>
          </w:p>
        </w:tc>
      </w:tr>
      <w:tr>
        <w:trPr>
          <w:trHeight w:val="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NISTIR 7628</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Guidelines for Smart Grid Cyber Security</w:t>
            </w:r>
          </w:p>
        </w:tc>
      </w:tr>
      <w:tr>
        <w:trPr>
          <w:trHeight w:val="367"/>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NEC</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National Electric Code</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NESC</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National Electric Safety Code</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CAA</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Clean Air Act and Amendments</w:t>
            </w:r>
          </w:p>
        </w:tc>
      </w:tr>
      <w:tr>
        <w:trPr>
          <w:trHeight w:val="430"/>
        </w:trPr>
        <w:tc>
          <w:tcPr>
            <w:tcW w:w="1501" w:type="dxa"/>
            <w:tcBorders>
              <w:top w:val="nil"/>
              <w:left w:val="single" w:sz="8" w:space="0" w:color="000000"/>
              <w:bottom w:val="single" w:sz="4" w:space="0" w:color="auto"/>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CERCLA</w:t>
            </w:r>
          </w:p>
        </w:tc>
        <w:tc>
          <w:tcPr>
            <w:tcW w:w="7839" w:type="dxa"/>
            <w:tcBorders>
              <w:top w:val="nil"/>
              <w:left w:val="nil"/>
              <w:bottom w:val="single" w:sz="4" w:space="0" w:color="auto"/>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Comprehensive Environmental Response, Compensation, and Liability Act of1980</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EPA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Environmental Protection Agency regulations</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FAA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Federal Aviation Administration regulations</w:t>
            </w:r>
          </w:p>
        </w:tc>
      </w:tr>
      <w:tr>
        <w:trPr>
          <w:trHeight w:val="43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FERC</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Federal Energy Regulatory Commission regulations</w:t>
            </w:r>
          </w:p>
        </w:tc>
      </w:tr>
      <w:tr>
        <w:trPr>
          <w:trHeight w:val="322"/>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FPA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Federal Power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lastRenderedPageBreak/>
              <w:t> </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Noise Control Act of 1972</w:t>
            </w:r>
          </w:p>
        </w:tc>
      </w:tr>
      <w:tr>
        <w:trPr>
          <w:trHeight w:val="385"/>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RCRA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Resource Conservation and Recovery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SDWA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Safe Drinking Water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SWDA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Solid Waste Disposal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TSCA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Toxic Substances Control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ADA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Americans with Disabilities Act</w:t>
            </w:r>
          </w:p>
        </w:tc>
      </w:tr>
      <w:tr>
        <w:trPr>
          <w:trHeight w:val="25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MBTA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Migratory Bird Treaty Act</w:t>
            </w:r>
          </w:p>
        </w:tc>
      </w:tr>
      <w:tr>
        <w:trPr>
          <w:trHeight w:val="43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CWA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Clean Water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American National Standards Institute</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Institute of Electrical and Electronics Engineers</w:t>
            </w:r>
          </w:p>
        </w:tc>
      </w:tr>
      <w:tr>
        <w:trPr>
          <w:trHeight w:val="43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NEMA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National Electrical Manufacturers Association</w:t>
            </w:r>
          </w:p>
        </w:tc>
      </w:tr>
      <w:tr>
        <w:trPr>
          <w:trHeight w:val="43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ASTM</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American Society for Testing and Materials</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ASME</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American Society of Mechanical Engineers</w:t>
            </w:r>
          </w:p>
        </w:tc>
      </w:tr>
      <w:tr>
        <w:trPr>
          <w:trHeight w:val="25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1881</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Glossary of Stationary Battery Terminology</w:t>
            </w:r>
          </w:p>
        </w:tc>
      </w:tr>
      <w:tr>
        <w:trPr>
          <w:trHeight w:val="25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519</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Recommended Practice and Requirements for Harmonic Control in Electric Power Systems</w:t>
            </w:r>
          </w:p>
        </w:tc>
      </w:tr>
      <w:tr>
        <w:trPr>
          <w:trHeight w:val="340"/>
        </w:trPr>
        <w:tc>
          <w:tcPr>
            <w:tcW w:w="150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142</w:t>
            </w:r>
          </w:p>
        </w:tc>
        <w:tc>
          <w:tcPr>
            <w:tcW w:w="7839" w:type="dxa"/>
            <w:tcBorders>
              <w:top w:val="single" w:sz="4" w:space="0" w:color="auto"/>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Recommended Practice for Grounding of Industrial and Commercial Power Systems</w:t>
            </w:r>
          </w:p>
        </w:tc>
      </w:tr>
      <w:tr>
        <w:trPr>
          <w:trHeight w:val="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242</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Recommended Practice for Protection and Coordination of Industrial and Commercial Power Systems</w:t>
            </w:r>
          </w:p>
        </w:tc>
      </w:tr>
      <w:tr>
        <w:trPr>
          <w:trHeight w:val="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2030.3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Test Procedures for Electric Energy Storage Equipment and Systems for Electric Power Systems Applications</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EPRI 3002009313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Energy Storage Integration Council Energy Storage Test Manual 2016</w:t>
            </w:r>
          </w:p>
        </w:tc>
      </w:tr>
      <w:tr>
        <w:trPr>
          <w:trHeight w:val="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1881</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Glossary of Stationary Battery Terminology</w:t>
            </w:r>
          </w:p>
        </w:tc>
      </w:tr>
      <w:tr>
        <w:trPr>
          <w:trHeight w:val="277"/>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IFC 2018</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International Fire Code 2018 </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MESA</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Open Standards for Energy Storage</w:t>
            </w:r>
          </w:p>
        </w:tc>
      </w:tr>
      <w:tr>
        <w:trPr>
          <w:trHeight w:val="25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NFPA 13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Fire Sprinkler Systems 2019</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NFPA 14</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for the Installation of Standpipe and Hose 2019</w:t>
            </w:r>
          </w:p>
        </w:tc>
      </w:tr>
    </w:tbl>
    <w:p>
      <w:pPr>
        <w:rPr>
          <w:b/>
          <w:sz w:val="24"/>
          <w:szCs w:val="24"/>
        </w:rPr>
      </w:pPr>
    </w:p>
    <w:p>
      <w:pPr>
        <w:pStyle w:val="Subhead2"/>
        <w:rPr>
          <w:sz w:val="24"/>
          <w:szCs w:val="24"/>
        </w:rPr>
      </w:pPr>
    </w:p>
    <w:sectPr>
      <w:headerReference w:type="default" r:id="rId13"/>
      <w:footerReference w:type="default" r:id="rId14"/>
      <w:headerReference w:type="first" r:id="rId15"/>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s>
      <w:jc w:val="center"/>
    </w:pPr>
    <w:sdt>
      <w:sdtPr>
        <w:id w:val="-611593333"/>
        <w:docPartObj>
          <w:docPartGallery w:val="Page Numbers (Bottom of Page)"/>
          <w:docPartUnique/>
        </w:docPartObj>
      </w:sdtPr>
      <w:sdtContent>
        <w:r>
          <w:rPr>
            <w:i/>
          </w:rPr>
          <w:t>- A-</w:t>
        </w:r>
        <w:r>
          <w:rPr>
            <w:i/>
          </w:rPr>
          <w:fldChar w:fldCharType="begin"/>
        </w:r>
        <w:r>
          <w:rPr>
            <w:i/>
          </w:rPr>
          <w:instrText xml:space="preserve"> PAGE   \* MERGEFORMAT </w:instrText>
        </w:r>
        <w:r>
          <w:rPr>
            <w:i/>
          </w:rPr>
          <w:fldChar w:fldCharType="separate"/>
        </w:r>
        <w:r>
          <w:rPr>
            <w:i/>
            <w:noProof/>
          </w:rPr>
          <w:t>7</w:t>
        </w:r>
        <w:r>
          <w:rPr>
            <w:i/>
          </w:rPr>
          <w:fldChar w:fldCharType="end"/>
        </w:r>
        <w:r>
          <w:rPr>
            <w:i/>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rPr>
      <mc:AlternateContent>
        <mc:Choice Requires="wps">
          <w:drawing>
            <wp:anchor distT="0" distB="0" distL="114300" distR="114300" simplePos="0" relativeHeight="251658244" behindDoc="0" locked="0" layoutInCell="1" allowOverlap="1">
              <wp:simplePos x="0" y="0"/>
              <wp:positionH relativeFrom="margin">
                <wp:posOffset>123825</wp:posOffset>
              </wp:positionH>
              <wp:positionV relativeFrom="page">
                <wp:posOffset>11430</wp:posOffset>
              </wp:positionV>
              <wp:extent cx="5925185" cy="365760"/>
              <wp:effectExtent l="0" t="0" r="0" b="0"/>
              <wp:wrapNone/>
              <wp:docPr id="9" name="Rectangle 4"/>
              <wp:cNvGraphicFramePr/>
              <a:graphic xmlns:a="http://schemas.openxmlformats.org/drawingml/2006/main">
                <a:graphicData uri="http://schemas.microsoft.com/office/word/2010/wordprocessingShape">
                  <wps:wsp>
                    <wps:cNvSpPr/>
                    <wps:spPr>
                      <a:xfrm>
                        <a:off x="0" y="0"/>
                        <a:ext cx="5925185" cy="365760"/>
                      </a:xfrm>
                      <a:prstGeom prst="rect">
                        <a:avLst/>
                      </a:prstGeom>
                      <a:solidFill>
                        <a:srgbClr val="1F497D"/>
                      </a:solidFill>
                      <a:ln w="25400" cap="flat" cmpd="sng" algn="ctr">
                        <a:noFill/>
                        <a:prstDash val="solid"/>
                      </a:ln>
                      <a:effectLst/>
                    </wps:spPr>
                    <wps:txbx>
                      <w:txbxContent>
                        <w:p>
                          <w:pPr>
                            <w:spacing w:before="80" w:after="0"/>
                            <w:jc w:val="center"/>
                            <w:rPr>
                              <w:b/>
                              <w:color w:val="FFFFFF" w:themeColor="background1"/>
                              <w:sz w:val="24"/>
                            </w:rPr>
                          </w:pPr>
                          <w:r>
                            <w:rPr>
                              <w:b/>
                              <w:color w:val="FFFFFF" w:themeColor="background1"/>
                              <w:sz w:val="24"/>
                            </w:rPr>
                            <w:t xml:space="preserve">2024 Distributed Solar and Storage Resources RFP </w:t>
                          </w:r>
                        </w:p>
                        <w:p>
                          <w:pPr>
                            <w:spacing w:before="180" w:after="80"/>
                            <w:jc w:val="center"/>
                            <w:rPr>
                              <w:b/>
                              <w:sz w:val="24"/>
                            </w:rPr>
                          </w:pP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id="Rectangle 4" o:spid="_x0000_s1026" style="position:absolute;margin-left:9.75pt;margin-top:.9pt;width:466.55pt;height:2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" fillcolor="#1f497d" stroked="f" strokeweight="2pt">
              <v:textbox>
                <w:txbxContent>
                  <w:p>
                    <w:pPr>
                      <w:spacing w:before="80" w:after="0"/>
                      <w:jc w:val="center"/>
                      <w:rPr>
                        <w:b/>
                        <w:color w:val="FFFFFF" w:themeColor="background1"/>
                        <w:sz w:val="24"/>
                      </w:rPr>
                    </w:pPr>
                    <w:r>
                      <w:rPr>
                        <w:b/>
                        <w:color w:val="FFFFFF" w:themeColor="background1"/>
                        <w:sz w:val="24"/>
                      </w:rPr>
                      <w:t xml:space="preserve">2024 Distributed Solar and Storage Resources RFP </w:t>
                    </w:r>
                  </w:p>
                  <w:p>
                    <w:pPr>
                      <w:spacing w:before="180" w:after="80"/>
                      <w:jc w:val="center"/>
                      <w:rPr>
                        <w:b/>
                        <w:sz w:val="24"/>
                      </w:rPr>
                    </w:pPr>
                  </w:p>
                </w:txbxContent>
              </v:textbox>
              <w10:wrap anchorx="margin" anchory="page"/>
            </v:rect>
          </w:pict>
        </mc:Fallback>
      </mc:AlternateContent>
    </w:r>
    <w:r>
      <w:rPr>
        <w:noProof/>
      </w:rPr>
      <mc:AlternateContent>
        <mc:Choice Requires="wps">
          <w:drawing>
            <wp:anchor distT="0" distB="0" distL="114300" distR="114300" simplePos="0" relativeHeight="251658245" behindDoc="0" locked="0" layoutInCell="1" allowOverlap="1">
              <wp:simplePos x="0" y="0"/>
              <wp:positionH relativeFrom="margin">
                <wp:posOffset>123825</wp:posOffset>
              </wp:positionH>
              <wp:positionV relativeFrom="page">
                <wp:posOffset>386192</wp:posOffset>
              </wp:positionV>
              <wp:extent cx="5925185" cy="365760"/>
              <wp:effectExtent l="0" t="0" r="18415" b="15240"/>
              <wp:wrapNone/>
              <wp:docPr id="10" name="Rectangle 10"/>
              <wp:cNvGraphicFramePr/>
              <a:graphic xmlns:a="http://schemas.openxmlformats.org/drawingml/2006/main">
                <a:graphicData uri="http://schemas.microsoft.com/office/word/2010/wordprocessingShape">
                  <wps:wsp>
                    <wps:cNvSpPr/>
                    <wps:spPr>
                      <a:xfrm>
                        <a:off x="0" y="0"/>
                        <a:ext cx="5925185" cy="3657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txbx>
                      <w:txbxContent>
                        <w:p>
                          <w:pPr>
                            <w:spacing w:after="0"/>
                            <w:jc w:val="center"/>
                            <w:rPr>
                              <w:b/>
                              <w:sz w:val="24"/>
                            </w:rPr>
                          </w:pPr>
                          <w:r>
                            <w:rPr>
                              <w:b/>
                              <w:sz w:val="24"/>
                            </w:rPr>
                            <w:t>EXHIBIT C: BESS Requirements</w:t>
                          </w:r>
                        </w:p>
                        <w:p>
                          <w:pPr>
                            <w:jc w:val="center"/>
                          </w:pP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id="Rectangle 10" o:spid="_x0000_s1027" style="position:absolute;margin-left:9.75pt;margin-top:30.4pt;width:466.55pt;height:28.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" fillcolor="#f2f2f2" strokecolor="#f2f2f2" strokeweight="2pt">
              <v:textbox>
                <w:txbxContent>
                  <w:p>
                    <w:pPr>
                      <w:spacing w:after="0"/>
                      <w:jc w:val="center"/>
                      <w:rPr>
                        <w:b/>
                        <w:sz w:val="24"/>
                      </w:rPr>
                    </w:pPr>
                    <w:r>
                      <w:rPr>
                        <w:b/>
                        <w:sz w:val="24"/>
                      </w:rPr>
                      <w:t>EXHIBIT C: BESS Requirements</w:t>
                    </w:r>
                  </w:p>
                  <w:p>
                    <w:pPr>
                      <w:jc w:val="center"/>
                    </w:pP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p>
    <w:pPr>
      <w:pStyle w:val="Header"/>
    </w:pPr>
  </w:p>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6E8"/>
    <w:multiLevelType w:val="hybridMultilevel"/>
    <w:tmpl w:val="5C3A7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9151C"/>
    <w:multiLevelType w:val="hybridMultilevel"/>
    <w:tmpl w:val="4680F91E"/>
    <w:lvl w:ilvl="0" w:tplc="91B2EF84">
      <w:start w:val="1"/>
      <w:numFmt w:val="decimal"/>
      <w:pStyle w:val="TableTitle"/>
      <w:lvlText w:val="Table %1."/>
      <w:lvlJc w:val="left"/>
      <w:pPr>
        <w:ind w:left="3960" w:hanging="360"/>
      </w:pPr>
      <w:rPr>
        <w:rFonts w:hint="default"/>
        <w:b/>
        <w:bCs w:val="0"/>
        <w:i w:val="0"/>
        <w:iCs w:val="0"/>
        <w:caps w:val="0"/>
        <w:smallCaps w:val="0"/>
        <w:strike w:val="0"/>
        <w:dstrike w:val="0"/>
        <w:vanish w:val="0"/>
        <w:color w:val="365F91" w:themeColor="accent1" w:themeShade="BF"/>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7FD6E02"/>
    <w:multiLevelType w:val="hybridMultilevel"/>
    <w:tmpl w:val="0968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CDC2BEF"/>
    <w:multiLevelType w:val="hybridMultilevel"/>
    <w:tmpl w:val="5664AA4E"/>
    <w:lvl w:ilvl="0" w:tplc="DC44AAEA">
      <w:start w:val="1"/>
      <w:numFmt w:val="bullet"/>
      <w:lvlText w:val=""/>
      <w:lvlJc w:val="left"/>
      <w:pPr>
        <w:ind w:left="720" w:hanging="360"/>
      </w:pPr>
      <w:rPr>
        <w:rFonts w:ascii="Symbol" w:hAnsi="Symbol" w:hint="default"/>
      </w:rPr>
    </w:lvl>
    <w:lvl w:ilvl="1" w:tplc="72CED236">
      <w:start w:val="1"/>
      <w:numFmt w:val="bullet"/>
      <w:lvlText w:val="-"/>
      <w:lvlJc w:val="left"/>
      <w:pPr>
        <w:ind w:left="1440" w:hanging="360"/>
      </w:pPr>
      <w:rPr>
        <w:rFonts w:ascii="Calibri" w:hAnsi="Calibri" w:hint="default"/>
      </w:rPr>
    </w:lvl>
    <w:lvl w:ilvl="2" w:tplc="F78661BA">
      <w:start w:val="1"/>
      <w:numFmt w:val="bullet"/>
      <w:lvlText w:val=""/>
      <w:lvlJc w:val="left"/>
      <w:pPr>
        <w:ind w:left="2160" w:hanging="360"/>
      </w:pPr>
      <w:rPr>
        <w:rFonts w:ascii="Wingdings" w:hAnsi="Wingdings" w:hint="default"/>
      </w:rPr>
    </w:lvl>
    <w:lvl w:ilvl="3" w:tplc="98C89A4A">
      <w:start w:val="1"/>
      <w:numFmt w:val="bullet"/>
      <w:lvlText w:val=""/>
      <w:lvlJc w:val="left"/>
      <w:pPr>
        <w:ind w:left="2880" w:hanging="360"/>
      </w:pPr>
      <w:rPr>
        <w:rFonts w:ascii="Symbol" w:hAnsi="Symbol" w:hint="default"/>
      </w:rPr>
    </w:lvl>
    <w:lvl w:ilvl="4" w:tplc="A834657E">
      <w:start w:val="1"/>
      <w:numFmt w:val="bullet"/>
      <w:lvlText w:val="o"/>
      <w:lvlJc w:val="left"/>
      <w:pPr>
        <w:ind w:left="3600" w:hanging="360"/>
      </w:pPr>
      <w:rPr>
        <w:rFonts w:ascii="Courier New" w:hAnsi="Courier New" w:hint="default"/>
      </w:rPr>
    </w:lvl>
    <w:lvl w:ilvl="5" w:tplc="F524F8CE">
      <w:start w:val="1"/>
      <w:numFmt w:val="bullet"/>
      <w:lvlText w:val=""/>
      <w:lvlJc w:val="left"/>
      <w:pPr>
        <w:ind w:left="4320" w:hanging="360"/>
      </w:pPr>
      <w:rPr>
        <w:rFonts w:ascii="Wingdings" w:hAnsi="Wingdings" w:hint="default"/>
      </w:rPr>
    </w:lvl>
    <w:lvl w:ilvl="6" w:tplc="A30EBA6A">
      <w:start w:val="1"/>
      <w:numFmt w:val="bullet"/>
      <w:lvlText w:val=""/>
      <w:lvlJc w:val="left"/>
      <w:pPr>
        <w:ind w:left="5040" w:hanging="360"/>
      </w:pPr>
      <w:rPr>
        <w:rFonts w:ascii="Symbol" w:hAnsi="Symbol" w:hint="default"/>
      </w:rPr>
    </w:lvl>
    <w:lvl w:ilvl="7" w:tplc="00262DB6">
      <w:start w:val="1"/>
      <w:numFmt w:val="bullet"/>
      <w:lvlText w:val="o"/>
      <w:lvlJc w:val="left"/>
      <w:pPr>
        <w:ind w:left="5760" w:hanging="360"/>
      </w:pPr>
      <w:rPr>
        <w:rFonts w:ascii="Courier New" w:hAnsi="Courier New" w:hint="default"/>
      </w:rPr>
    </w:lvl>
    <w:lvl w:ilvl="8" w:tplc="E7FEB1AA">
      <w:start w:val="1"/>
      <w:numFmt w:val="bullet"/>
      <w:lvlText w:val=""/>
      <w:lvlJc w:val="left"/>
      <w:pPr>
        <w:ind w:left="6480" w:hanging="360"/>
      </w:pPr>
      <w:rPr>
        <w:rFonts w:ascii="Wingdings" w:hAnsi="Wingdings" w:hint="default"/>
      </w:rPr>
    </w:lvl>
  </w:abstractNum>
  <w:abstractNum w:abstractNumId="5" w15:restartNumberingAfterBreak="0">
    <w:nsid w:val="2F406A74"/>
    <w:multiLevelType w:val="hybridMultilevel"/>
    <w:tmpl w:val="0B7E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015B3"/>
    <w:multiLevelType w:val="hybridMultilevel"/>
    <w:tmpl w:val="4D6EF124"/>
    <w:lvl w:ilvl="0" w:tplc="8174A924">
      <w:start w:val="1"/>
      <w:numFmt w:val="bullet"/>
      <w:lvlText w:val=""/>
      <w:lvlJc w:val="left"/>
      <w:pPr>
        <w:ind w:left="720" w:hanging="360"/>
      </w:pPr>
      <w:rPr>
        <w:rFonts w:ascii="Symbol" w:hAnsi="Symbol" w:hint="default"/>
      </w:rPr>
    </w:lvl>
    <w:lvl w:ilvl="1" w:tplc="696CAD80">
      <w:start w:val="1"/>
      <w:numFmt w:val="bullet"/>
      <w:lvlText w:val=""/>
      <w:lvlJc w:val="left"/>
      <w:pPr>
        <w:ind w:left="1440" w:hanging="360"/>
      </w:pPr>
      <w:rPr>
        <w:rFonts w:ascii="Symbol" w:hAnsi="Symbol" w:hint="default"/>
      </w:rPr>
    </w:lvl>
    <w:lvl w:ilvl="2" w:tplc="B59221B8">
      <w:start w:val="1"/>
      <w:numFmt w:val="bullet"/>
      <w:lvlText w:val=""/>
      <w:lvlJc w:val="left"/>
      <w:pPr>
        <w:ind w:left="2160" w:hanging="360"/>
      </w:pPr>
      <w:rPr>
        <w:rFonts w:ascii="Wingdings" w:hAnsi="Wingdings" w:hint="default"/>
      </w:rPr>
    </w:lvl>
    <w:lvl w:ilvl="3" w:tplc="0EB6E2EC">
      <w:start w:val="1"/>
      <w:numFmt w:val="bullet"/>
      <w:lvlText w:val=""/>
      <w:lvlJc w:val="left"/>
      <w:pPr>
        <w:ind w:left="2880" w:hanging="360"/>
      </w:pPr>
      <w:rPr>
        <w:rFonts w:ascii="Symbol" w:hAnsi="Symbol" w:hint="default"/>
      </w:rPr>
    </w:lvl>
    <w:lvl w:ilvl="4" w:tplc="FAB22FAE">
      <w:start w:val="1"/>
      <w:numFmt w:val="bullet"/>
      <w:lvlText w:val="o"/>
      <w:lvlJc w:val="left"/>
      <w:pPr>
        <w:ind w:left="3600" w:hanging="360"/>
      </w:pPr>
      <w:rPr>
        <w:rFonts w:ascii="Courier New" w:hAnsi="Courier New" w:hint="default"/>
      </w:rPr>
    </w:lvl>
    <w:lvl w:ilvl="5" w:tplc="7988CF5C">
      <w:start w:val="1"/>
      <w:numFmt w:val="bullet"/>
      <w:lvlText w:val=""/>
      <w:lvlJc w:val="left"/>
      <w:pPr>
        <w:ind w:left="4320" w:hanging="360"/>
      </w:pPr>
      <w:rPr>
        <w:rFonts w:ascii="Wingdings" w:hAnsi="Wingdings" w:hint="default"/>
      </w:rPr>
    </w:lvl>
    <w:lvl w:ilvl="6" w:tplc="9CE20D2C">
      <w:start w:val="1"/>
      <w:numFmt w:val="bullet"/>
      <w:lvlText w:val=""/>
      <w:lvlJc w:val="left"/>
      <w:pPr>
        <w:ind w:left="5040" w:hanging="360"/>
      </w:pPr>
      <w:rPr>
        <w:rFonts w:ascii="Symbol" w:hAnsi="Symbol" w:hint="default"/>
      </w:rPr>
    </w:lvl>
    <w:lvl w:ilvl="7" w:tplc="A8289B9A">
      <w:start w:val="1"/>
      <w:numFmt w:val="bullet"/>
      <w:lvlText w:val="o"/>
      <w:lvlJc w:val="left"/>
      <w:pPr>
        <w:ind w:left="5760" w:hanging="360"/>
      </w:pPr>
      <w:rPr>
        <w:rFonts w:ascii="Courier New" w:hAnsi="Courier New" w:hint="default"/>
      </w:rPr>
    </w:lvl>
    <w:lvl w:ilvl="8" w:tplc="FFB4572A">
      <w:start w:val="1"/>
      <w:numFmt w:val="bullet"/>
      <w:lvlText w:val=""/>
      <w:lvlJc w:val="left"/>
      <w:pPr>
        <w:ind w:left="6480" w:hanging="360"/>
      </w:pPr>
      <w:rPr>
        <w:rFonts w:ascii="Wingdings" w:hAnsi="Wingdings" w:hint="default"/>
      </w:rPr>
    </w:lvl>
  </w:abstractNum>
  <w:abstractNum w:abstractNumId="7" w15:restartNumberingAfterBreak="0">
    <w:nsid w:val="30531560"/>
    <w:multiLevelType w:val="hybridMultilevel"/>
    <w:tmpl w:val="6D7C9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33AD5"/>
    <w:multiLevelType w:val="multilevel"/>
    <w:tmpl w:val="9028EB18"/>
    <w:lvl w:ilvl="0">
      <w:start w:val="1"/>
      <w:numFmt w:val="decimal"/>
      <w:lvlText w:val="%1"/>
      <w:lvlJc w:val="left"/>
      <w:pPr>
        <w:ind w:left="1539" w:hanging="1080"/>
      </w:pPr>
      <w:rPr>
        <w:lang w:val="en-US" w:eastAsia="en-US" w:bidi="en-US"/>
      </w:rPr>
    </w:lvl>
    <w:lvl w:ilvl="1">
      <w:numFmt w:val="decimal"/>
      <w:lvlText w:val="%1.%2"/>
      <w:lvlJc w:val="left"/>
      <w:pPr>
        <w:ind w:left="1539" w:hanging="1080"/>
      </w:pPr>
      <w:rPr>
        <w:b/>
        <w:bCs/>
        <w:spacing w:val="-1"/>
        <w:w w:val="100"/>
        <w:lang w:val="en-US" w:eastAsia="en-US" w:bidi="en-US"/>
      </w:rPr>
    </w:lvl>
    <w:lvl w:ilvl="2">
      <w:numFmt w:val="bullet"/>
      <w:lvlText w:val=""/>
      <w:lvlJc w:val="left"/>
      <w:pPr>
        <w:ind w:left="1180" w:hanging="360"/>
      </w:pPr>
      <w:rPr>
        <w:rFonts w:ascii="Symbol" w:hAnsi="Symbol" w:hint="default"/>
        <w:w w:val="100"/>
        <w:sz w:val="22"/>
        <w:szCs w:val="22"/>
        <w:lang w:val="en-US" w:eastAsia="en-US" w:bidi="en-US"/>
      </w:rPr>
    </w:lvl>
    <w:lvl w:ilvl="3">
      <w:start w:val="1"/>
      <w:numFmt w:val="bullet"/>
      <w:lvlText w:val=""/>
      <w:lvlJc w:val="left"/>
      <w:pPr>
        <w:ind w:left="1809" w:hanging="360"/>
      </w:pPr>
      <w:rPr>
        <w:rFonts w:ascii="Symbol" w:hAnsi="Symbol" w:hint="default"/>
        <w:w w:val="100"/>
        <w:sz w:val="22"/>
        <w:szCs w:val="22"/>
        <w:lang w:val="en-US" w:eastAsia="en-US" w:bidi="en-US"/>
      </w:rPr>
    </w:lvl>
    <w:lvl w:ilvl="4">
      <w:numFmt w:val="bullet"/>
      <w:lvlText w:val="•"/>
      <w:lvlJc w:val="left"/>
      <w:pPr>
        <w:ind w:left="3128" w:hanging="360"/>
      </w:pPr>
      <w:rPr>
        <w:lang w:val="en-US" w:eastAsia="en-US" w:bidi="en-US"/>
      </w:rPr>
    </w:lvl>
    <w:lvl w:ilvl="5">
      <w:numFmt w:val="bullet"/>
      <w:lvlText w:val="•"/>
      <w:lvlJc w:val="left"/>
      <w:pPr>
        <w:ind w:left="4437" w:hanging="360"/>
      </w:pPr>
      <w:rPr>
        <w:lang w:val="en-US" w:eastAsia="en-US" w:bidi="en-US"/>
      </w:rPr>
    </w:lvl>
    <w:lvl w:ilvl="6">
      <w:numFmt w:val="bullet"/>
      <w:lvlText w:val="•"/>
      <w:lvlJc w:val="left"/>
      <w:pPr>
        <w:ind w:left="5745" w:hanging="360"/>
      </w:pPr>
      <w:rPr>
        <w:lang w:val="en-US" w:eastAsia="en-US" w:bidi="en-US"/>
      </w:rPr>
    </w:lvl>
    <w:lvl w:ilvl="7">
      <w:numFmt w:val="bullet"/>
      <w:lvlText w:val="•"/>
      <w:lvlJc w:val="left"/>
      <w:pPr>
        <w:ind w:left="7054" w:hanging="360"/>
      </w:pPr>
      <w:rPr>
        <w:lang w:val="en-US" w:eastAsia="en-US" w:bidi="en-US"/>
      </w:rPr>
    </w:lvl>
    <w:lvl w:ilvl="8">
      <w:numFmt w:val="bullet"/>
      <w:lvlText w:val="•"/>
      <w:lvlJc w:val="left"/>
      <w:pPr>
        <w:ind w:left="8362" w:hanging="360"/>
      </w:pPr>
      <w:rPr>
        <w:lang w:val="en-US" w:eastAsia="en-US" w:bidi="en-US"/>
      </w:rPr>
    </w:lvl>
  </w:abstractNum>
  <w:abstractNum w:abstractNumId="9" w15:restartNumberingAfterBreak="0">
    <w:nsid w:val="37742049"/>
    <w:multiLevelType w:val="hybridMultilevel"/>
    <w:tmpl w:val="609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710F0"/>
    <w:multiLevelType w:val="hybridMultilevel"/>
    <w:tmpl w:val="D28252F6"/>
    <w:lvl w:ilvl="0" w:tplc="0420A5F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D7CC2812">
      <w:start w:val="1"/>
      <w:numFmt w:val="bullet"/>
      <w:lvlText w:val=""/>
      <w:lvlJc w:val="left"/>
      <w:pPr>
        <w:ind w:left="2160" w:hanging="360"/>
      </w:pPr>
      <w:rPr>
        <w:rFonts w:ascii="Wingdings" w:hAnsi="Wingdings" w:hint="default"/>
      </w:rPr>
    </w:lvl>
    <w:lvl w:ilvl="3" w:tplc="AD287396">
      <w:start w:val="1"/>
      <w:numFmt w:val="bullet"/>
      <w:lvlText w:val=""/>
      <w:lvlJc w:val="left"/>
      <w:pPr>
        <w:ind w:left="2880" w:hanging="360"/>
      </w:pPr>
      <w:rPr>
        <w:rFonts w:ascii="Symbol" w:hAnsi="Symbol" w:hint="default"/>
      </w:rPr>
    </w:lvl>
    <w:lvl w:ilvl="4" w:tplc="D838781C">
      <w:start w:val="1"/>
      <w:numFmt w:val="bullet"/>
      <w:lvlText w:val="o"/>
      <w:lvlJc w:val="left"/>
      <w:pPr>
        <w:ind w:left="3600" w:hanging="360"/>
      </w:pPr>
      <w:rPr>
        <w:rFonts w:ascii="Courier New" w:hAnsi="Courier New" w:hint="default"/>
      </w:rPr>
    </w:lvl>
    <w:lvl w:ilvl="5" w:tplc="70B8A588">
      <w:start w:val="1"/>
      <w:numFmt w:val="bullet"/>
      <w:lvlText w:val=""/>
      <w:lvlJc w:val="left"/>
      <w:pPr>
        <w:ind w:left="4320" w:hanging="360"/>
      </w:pPr>
      <w:rPr>
        <w:rFonts w:ascii="Wingdings" w:hAnsi="Wingdings" w:hint="default"/>
      </w:rPr>
    </w:lvl>
    <w:lvl w:ilvl="6" w:tplc="F0C68F9C">
      <w:start w:val="1"/>
      <w:numFmt w:val="bullet"/>
      <w:lvlText w:val=""/>
      <w:lvlJc w:val="left"/>
      <w:pPr>
        <w:ind w:left="5040" w:hanging="360"/>
      </w:pPr>
      <w:rPr>
        <w:rFonts w:ascii="Symbol" w:hAnsi="Symbol" w:hint="default"/>
      </w:rPr>
    </w:lvl>
    <w:lvl w:ilvl="7" w:tplc="F580F890">
      <w:start w:val="1"/>
      <w:numFmt w:val="bullet"/>
      <w:lvlText w:val="o"/>
      <w:lvlJc w:val="left"/>
      <w:pPr>
        <w:ind w:left="5760" w:hanging="360"/>
      </w:pPr>
      <w:rPr>
        <w:rFonts w:ascii="Courier New" w:hAnsi="Courier New" w:hint="default"/>
      </w:rPr>
    </w:lvl>
    <w:lvl w:ilvl="8" w:tplc="338A7BC6">
      <w:start w:val="1"/>
      <w:numFmt w:val="bullet"/>
      <w:lvlText w:val=""/>
      <w:lvlJc w:val="left"/>
      <w:pPr>
        <w:ind w:left="6480" w:hanging="360"/>
      </w:pPr>
      <w:rPr>
        <w:rFonts w:ascii="Wingdings" w:hAnsi="Wingdings" w:hint="default"/>
      </w:rPr>
    </w:lvl>
  </w:abstractNum>
  <w:abstractNum w:abstractNumId="11" w15:restartNumberingAfterBreak="0">
    <w:nsid w:val="415937C0"/>
    <w:multiLevelType w:val="hybridMultilevel"/>
    <w:tmpl w:val="EEDCF6D2"/>
    <w:lvl w:ilvl="0" w:tplc="04090001">
      <w:start w:val="1"/>
      <w:numFmt w:val="bullet"/>
      <w:lvlText w:val=""/>
      <w:lvlJc w:val="left"/>
      <w:pPr>
        <w:ind w:left="2811" w:hanging="360"/>
      </w:pPr>
      <w:rPr>
        <w:rFonts w:ascii="Symbol" w:hAnsi="Symbol" w:hint="default"/>
      </w:rPr>
    </w:lvl>
    <w:lvl w:ilvl="1" w:tplc="04090003" w:tentative="1">
      <w:start w:val="1"/>
      <w:numFmt w:val="bullet"/>
      <w:lvlText w:val="o"/>
      <w:lvlJc w:val="left"/>
      <w:pPr>
        <w:ind w:left="3531" w:hanging="360"/>
      </w:pPr>
      <w:rPr>
        <w:rFonts w:ascii="Courier New" w:hAnsi="Courier New" w:cs="Courier New" w:hint="default"/>
      </w:rPr>
    </w:lvl>
    <w:lvl w:ilvl="2" w:tplc="04090005" w:tentative="1">
      <w:start w:val="1"/>
      <w:numFmt w:val="bullet"/>
      <w:lvlText w:val=""/>
      <w:lvlJc w:val="left"/>
      <w:pPr>
        <w:ind w:left="4251" w:hanging="360"/>
      </w:pPr>
      <w:rPr>
        <w:rFonts w:ascii="Wingdings" w:hAnsi="Wingdings" w:hint="default"/>
      </w:rPr>
    </w:lvl>
    <w:lvl w:ilvl="3" w:tplc="04090001" w:tentative="1">
      <w:start w:val="1"/>
      <w:numFmt w:val="bullet"/>
      <w:lvlText w:val=""/>
      <w:lvlJc w:val="left"/>
      <w:pPr>
        <w:ind w:left="4971" w:hanging="360"/>
      </w:pPr>
      <w:rPr>
        <w:rFonts w:ascii="Symbol" w:hAnsi="Symbol" w:hint="default"/>
      </w:rPr>
    </w:lvl>
    <w:lvl w:ilvl="4" w:tplc="04090003" w:tentative="1">
      <w:start w:val="1"/>
      <w:numFmt w:val="bullet"/>
      <w:lvlText w:val="o"/>
      <w:lvlJc w:val="left"/>
      <w:pPr>
        <w:ind w:left="5691" w:hanging="360"/>
      </w:pPr>
      <w:rPr>
        <w:rFonts w:ascii="Courier New" w:hAnsi="Courier New" w:cs="Courier New" w:hint="default"/>
      </w:rPr>
    </w:lvl>
    <w:lvl w:ilvl="5" w:tplc="04090005" w:tentative="1">
      <w:start w:val="1"/>
      <w:numFmt w:val="bullet"/>
      <w:lvlText w:val=""/>
      <w:lvlJc w:val="left"/>
      <w:pPr>
        <w:ind w:left="6411" w:hanging="360"/>
      </w:pPr>
      <w:rPr>
        <w:rFonts w:ascii="Wingdings" w:hAnsi="Wingdings" w:hint="default"/>
      </w:rPr>
    </w:lvl>
    <w:lvl w:ilvl="6" w:tplc="04090001" w:tentative="1">
      <w:start w:val="1"/>
      <w:numFmt w:val="bullet"/>
      <w:lvlText w:val=""/>
      <w:lvlJc w:val="left"/>
      <w:pPr>
        <w:ind w:left="7131" w:hanging="360"/>
      </w:pPr>
      <w:rPr>
        <w:rFonts w:ascii="Symbol" w:hAnsi="Symbol" w:hint="default"/>
      </w:rPr>
    </w:lvl>
    <w:lvl w:ilvl="7" w:tplc="04090003" w:tentative="1">
      <w:start w:val="1"/>
      <w:numFmt w:val="bullet"/>
      <w:lvlText w:val="o"/>
      <w:lvlJc w:val="left"/>
      <w:pPr>
        <w:ind w:left="7851" w:hanging="360"/>
      </w:pPr>
      <w:rPr>
        <w:rFonts w:ascii="Courier New" w:hAnsi="Courier New" w:cs="Courier New" w:hint="default"/>
      </w:rPr>
    </w:lvl>
    <w:lvl w:ilvl="8" w:tplc="04090005" w:tentative="1">
      <w:start w:val="1"/>
      <w:numFmt w:val="bullet"/>
      <w:lvlText w:val=""/>
      <w:lvlJc w:val="left"/>
      <w:pPr>
        <w:ind w:left="8571" w:hanging="360"/>
      </w:pPr>
      <w:rPr>
        <w:rFonts w:ascii="Wingdings" w:hAnsi="Wingdings" w:hint="default"/>
      </w:rPr>
    </w:lvl>
  </w:abstractNum>
  <w:abstractNum w:abstractNumId="12" w15:restartNumberingAfterBreak="0">
    <w:nsid w:val="442A4547"/>
    <w:multiLevelType w:val="hybridMultilevel"/>
    <w:tmpl w:val="D9F8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5A699F"/>
    <w:multiLevelType w:val="hybridMultilevel"/>
    <w:tmpl w:val="AFEA1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AC287F"/>
    <w:multiLevelType w:val="hybridMultilevel"/>
    <w:tmpl w:val="935CD2C4"/>
    <w:lvl w:ilvl="0" w:tplc="714A8A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871DA"/>
    <w:multiLevelType w:val="hybridMultilevel"/>
    <w:tmpl w:val="0AA48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B21D60"/>
    <w:multiLevelType w:val="hybridMultilevel"/>
    <w:tmpl w:val="3D3A5D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D4E68D2"/>
    <w:multiLevelType w:val="multilevel"/>
    <w:tmpl w:val="FFA2A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D2AB0"/>
    <w:multiLevelType w:val="hybridMultilevel"/>
    <w:tmpl w:val="8A3EF552"/>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A2E38"/>
    <w:multiLevelType w:val="hybridMultilevel"/>
    <w:tmpl w:val="D0BAF9C4"/>
    <w:lvl w:ilvl="0" w:tplc="9EAE1200">
      <w:numFmt w:val="bullet"/>
      <w:lvlText w:val=""/>
      <w:lvlJc w:val="left"/>
      <w:pPr>
        <w:ind w:left="1179" w:hanging="360"/>
      </w:pPr>
      <w:rPr>
        <w:rFonts w:ascii="Symbol" w:eastAsia="Symbol" w:hAnsi="Symbol" w:cs="Symbol" w:hint="default"/>
        <w:w w:val="100"/>
        <w:sz w:val="22"/>
        <w:szCs w:val="22"/>
        <w:lang w:val="en-US" w:eastAsia="en-US" w:bidi="en-US"/>
      </w:rPr>
    </w:lvl>
    <w:lvl w:ilvl="1" w:tplc="0FE4EA90">
      <w:numFmt w:val="bullet"/>
      <w:lvlText w:val="•"/>
      <w:lvlJc w:val="left"/>
      <w:pPr>
        <w:ind w:left="2160" w:hanging="360"/>
      </w:pPr>
      <w:rPr>
        <w:rFonts w:hint="default"/>
        <w:lang w:val="en-US" w:eastAsia="en-US" w:bidi="en-US"/>
      </w:rPr>
    </w:lvl>
    <w:lvl w:ilvl="2" w:tplc="36EECBE8">
      <w:numFmt w:val="bullet"/>
      <w:lvlText w:val="•"/>
      <w:lvlJc w:val="left"/>
      <w:pPr>
        <w:ind w:left="3140" w:hanging="360"/>
      </w:pPr>
      <w:rPr>
        <w:rFonts w:hint="default"/>
        <w:lang w:val="en-US" w:eastAsia="en-US" w:bidi="en-US"/>
      </w:rPr>
    </w:lvl>
    <w:lvl w:ilvl="3" w:tplc="1B7491AA">
      <w:numFmt w:val="bullet"/>
      <w:lvlText w:val="•"/>
      <w:lvlJc w:val="left"/>
      <w:pPr>
        <w:ind w:left="4120" w:hanging="360"/>
      </w:pPr>
      <w:rPr>
        <w:rFonts w:hint="default"/>
        <w:lang w:val="en-US" w:eastAsia="en-US" w:bidi="en-US"/>
      </w:rPr>
    </w:lvl>
    <w:lvl w:ilvl="4" w:tplc="C584F6EA">
      <w:numFmt w:val="bullet"/>
      <w:lvlText w:val="•"/>
      <w:lvlJc w:val="left"/>
      <w:pPr>
        <w:ind w:left="5100" w:hanging="360"/>
      </w:pPr>
      <w:rPr>
        <w:rFonts w:hint="default"/>
        <w:lang w:val="en-US" w:eastAsia="en-US" w:bidi="en-US"/>
      </w:rPr>
    </w:lvl>
    <w:lvl w:ilvl="5" w:tplc="28EC303C">
      <w:numFmt w:val="bullet"/>
      <w:lvlText w:val="•"/>
      <w:lvlJc w:val="left"/>
      <w:pPr>
        <w:ind w:left="6080" w:hanging="360"/>
      </w:pPr>
      <w:rPr>
        <w:rFonts w:hint="default"/>
        <w:lang w:val="en-US" w:eastAsia="en-US" w:bidi="en-US"/>
      </w:rPr>
    </w:lvl>
    <w:lvl w:ilvl="6" w:tplc="E03CEE8C">
      <w:numFmt w:val="bullet"/>
      <w:lvlText w:val="•"/>
      <w:lvlJc w:val="left"/>
      <w:pPr>
        <w:ind w:left="7060" w:hanging="360"/>
      </w:pPr>
      <w:rPr>
        <w:rFonts w:hint="default"/>
        <w:lang w:val="en-US" w:eastAsia="en-US" w:bidi="en-US"/>
      </w:rPr>
    </w:lvl>
    <w:lvl w:ilvl="7" w:tplc="33DE4C24">
      <w:numFmt w:val="bullet"/>
      <w:lvlText w:val="•"/>
      <w:lvlJc w:val="left"/>
      <w:pPr>
        <w:ind w:left="8040" w:hanging="360"/>
      </w:pPr>
      <w:rPr>
        <w:rFonts w:hint="default"/>
        <w:lang w:val="en-US" w:eastAsia="en-US" w:bidi="en-US"/>
      </w:rPr>
    </w:lvl>
    <w:lvl w:ilvl="8" w:tplc="68225672">
      <w:numFmt w:val="bullet"/>
      <w:lvlText w:val="•"/>
      <w:lvlJc w:val="left"/>
      <w:pPr>
        <w:ind w:left="9020" w:hanging="360"/>
      </w:pPr>
      <w:rPr>
        <w:rFonts w:hint="default"/>
        <w:lang w:val="en-US" w:eastAsia="en-US" w:bidi="en-US"/>
      </w:rPr>
    </w:lvl>
  </w:abstractNum>
  <w:abstractNum w:abstractNumId="20" w15:restartNumberingAfterBreak="0">
    <w:nsid w:val="52170BEE"/>
    <w:multiLevelType w:val="hybridMultilevel"/>
    <w:tmpl w:val="ABB845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1" w15:restartNumberingAfterBreak="0">
    <w:nsid w:val="53911D03"/>
    <w:multiLevelType w:val="hybridMultilevel"/>
    <w:tmpl w:val="840E8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947E8D"/>
    <w:multiLevelType w:val="hybridMultilevel"/>
    <w:tmpl w:val="BF10786A"/>
    <w:lvl w:ilvl="0" w:tplc="52CCB87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6B7FC5"/>
    <w:multiLevelType w:val="hybridMultilevel"/>
    <w:tmpl w:val="78280824"/>
    <w:lvl w:ilvl="0" w:tplc="3E3E20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946DF"/>
    <w:multiLevelType w:val="hybridMultilevel"/>
    <w:tmpl w:val="2E3646F2"/>
    <w:lvl w:ilvl="0" w:tplc="3A38D878">
      <w:start w:val="1"/>
      <w:numFmt w:val="bullet"/>
      <w:lvlText w:val=""/>
      <w:lvlJc w:val="left"/>
      <w:pPr>
        <w:ind w:left="720" w:hanging="360"/>
      </w:pPr>
      <w:rPr>
        <w:rFonts w:ascii="Symbol" w:hAnsi="Symbol" w:hint="default"/>
      </w:rPr>
    </w:lvl>
    <w:lvl w:ilvl="1" w:tplc="0F5446C0">
      <w:start w:val="1"/>
      <w:numFmt w:val="bullet"/>
      <w:lvlText w:val="-"/>
      <w:lvlJc w:val="left"/>
      <w:pPr>
        <w:ind w:left="1440" w:hanging="360"/>
      </w:pPr>
      <w:rPr>
        <w:rFonts w:ascii="Calibri" w:hAnsi="Calibri" w:hint="default"/>
      </w:rPr>
    </w:lvl>
    <w:lvl w:ilvl="2" w:tplc="8508ED38">
      <w:start w:val="1"/>
      <w:numFmt w:val="bullet"/>
      <w:lvlText w:val=""/>
      <w:lvlJc w:val="left"/>
      <w:pPr>
        <w:ind w:left="2160" w:hanging="360"/>
      </w:pPr>
      <w:rPr>
        <w:rFonts w:ascii="Wingdings" w:hAnsi="Wingdings" w:hint="default"/>
      </w:rPr>
    </w:lvl>
    <w:lvl w:ilvl="3" w:tplc="413872D8">
      <w:start w:val="1"/>
      <w:numFmt w:val="bullet"/>
      <w:lvlText w:val=""/>
      <w:lvlJc w:val="left"/>
      <w:pPr>
        <w:ind w:left="2880" w:hanging="360"/>
      </w:pPr>
      <w:rPr>
        <w:rFonts w:ascii="Symbol" w:hAnsi="Symbol" w:hint="default"/>
      </w:rPr>
    </w:lvl>
    <w:lvl w:ilvl="4" w:tplc="260C1BD2">
      <w:start w:val="1"/>
      <w:numFmt w:val="bullet"/>
      <w:lvlText w:val="o"/>
      <w:lvlJc w:val="left"/>
      <w:pPr>
        <w:ind w:left="3600" w:hanging="360"/>
      </w:pPr>
      <w:rPr>
        <w:rFonts w:ascii="Courier New" w:hAnsi="Courier New" w:hint="default"/>
      </w:rPr>
    </w:lvl>
    <w:lvl w:ilvl="5" w:tplc="D0DE8070">
      <w:start w:val="1"/>
      <w:numFmt w:val="bullet"/>
      <w:lvlText w:val=""/>
      <w:lvlJc w:val="left"/>
      <w:pPr>
        <w:ind w:left="4320" w:hanging="360"/>
      </w:pPr>
      <w:rPr>
        <w:rFonts w:ascii="Wingdings" w:hAnsi="Wingdings" w:hint="default"/>
      </w:rPr>
    </w:lvl>
    <w:lvl w:ilvl="6" w:tplc="D1AC2B2C">
      <w:start w:val="1"/>
      <w:numFmt w:val="bullet"/>
      <w:lvlText w:val=""/>
      <w:lvlJc w:val="left"/>
      <w:pPr>
        <w:ind w:left="5040" w:hanging="360"/>
      </w:pPr>
      <w:rPr>
        <w:rFonts w:ascii="Symbol" w:hAnsi="Symbol" w:hint="default"/>
      </w:rPr>
    </w:lvl>
    <w:lvl w:ilvl="7" w:tplc="7AC08D1E">
      <w:start w:val="1"/>
      <w:numFmt w:val="bullet"/>
      <w:lvlText w:val="o"/>
      <w:lvlJc w:val="left"/>
      <w:pPr>
        <w:ind w:left="5760" w:hanging="360"/>
      </w:pPr>
      <w:rPr>
        <w:rFonts w:ascii="Courier New" w:hAnsi="Courier New" w:hint="default"/>
      </w:rPr>
    </w:lvl>
    <w:lvl w:ilvl="8" w:tplc="51A24ABA">
      <w:start w:val="1"/>
      <w:numFmt w:val="bullet"/>
      <w:lvlText w:val=""/>
      <w:lvlJc w:val="left"/>
      <w:pPr>
        <w:ind w:left="6480" w:hanging="360"/>
      </w:pPr>
      <w:rPr>
        <w:rFonts w:ascii="Wingdings" w:hAnsi="Wingdings" w:hint="default"/>
      </w:rPr>
    </w:lvl>
  </w:abstractNum>
  <w:abstractNum w:abstractNumId="25" w15:restartNumberingAfterBreak="0">
    <w:nsid w:val="5D647F3A"/>
    <w:multiLevelType w:val="hybridMultilevel"/>
    <w:tmpl w:val="6F487C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63016D30"/>
    <w:multiLevelType w:val="hybridMultilevel"/>
    <w:tmpl w:val="52B6830E"/>
    <w:lvl w:ilvl="0" w:tplc="3FFCFABC">
      <w:start w:val="1"/>
      <w:numFmt w:val="bullet"/>
      <w:lvlText w:val=""/>
      <w:lvlJc w:val="left"/>
      <w:pPr>
        <w:ind w:left="774" w:hanging="360"/>
      </w:pPr>
      <w:rPr>
        <w:rFonts w:ascii="Symbol" w:hAnsi="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15:restartNumberingAfterBreak="0">
    <w:nsid w:val="6E0D3414"/>
    <w:multiLevelType w:val="hybridMultilevel"/>
    <w:tmpl w:val="2E748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BC7FDF"/>
    <w:multiLevelType w:val="hybridMultilevel"/>
    <w:tmpl w:val="D0E69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F26EBF"/>
    <w:multiLevelType w:val="hybridMultilevel"/>
    <w:tmpl w:val="C2C8F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8"/>
  </w:num>
  <w:num w:numId="4">
    <w:abstractNumId w:val="1"/>
  </w:num>
  <w:num w:numId="5">
    <w:abstractNumId w:val="3"/>
  </w:num>
  <w:num w:numId="6">
    <w:abstractNumId w:val="25"/>
  </w:num>
  <w:num w:numId="7">
    <w:abstractNumId w:val="14"/>
  </w:num>
  <w:num w:numId="8">
    <w:abstractNumId w:val="13"/>
  </w:num>
  <w:num w:numId="9">
    <w:abstractNumId w:val="15"/>
  </w:num>
  <w:num w:numId="10">
    <w:abstractNumId w:val="7"/>
  </w:num>
  <w:num w:numId="11">
    <w:abstractNumId w:val="16"/>
  </w:num>
  <w:num w:numId="12">
    <w:abstractNumId w:val="28"/>
  </w:num>
  <w:num w:numId="13">
    <w:abstractNumId w:val="22"/>
  </w:num>
  <w:num w:numId="14">
    <w:abstractNumId w:val="17"/>
  </w:num>
  <w:num w:numId="15">
    <w:abstractNumId w:val="0"/>
  </w:num>
  <w:num w:numId="16">
    <w:abstractNumId w:val="29"/>
  </w:num>
  <w:num w:numId="17">
    <w:abstractNumId w:val="21"/>
  </w:num>
  <w:num w:numId="18">
    <w:abstractNumId w:val="11"/>
  </w:num>
  <w:num w:numId="19">
    <w:abstractNumId w:val="12"/>
  </w:num>
  <w:num w:numId="20">
    <w:abstractNumId w:val="2"/>
  </w:num>
  <w:num w:numId="21">
    <w:abstractNumId w:val="5"/>
  </w:num>
  <w:num w:numId="22">
    <w:abstractNumId w:val="10"/>
  </w:num>
  <w:num w:numId="23">
    <w:abstractNumId w:val="24"/>
  </w:num>
  <w:num w:numId="24">
    <w:abstractNumId w:val="23"/>
  </w:num>
  <w:num w:numId="25">
    <w:abstractNumId w:val="26"/>
  </w:num>
  <w:num w:numId="26">
    <w:abstractNumId w:val="8"/>
  </w:num>
  <w:num w:numId="27">
    <w:abstractNumId w:val="20"/>
  </w:num>
  <w:num w:numId="28">
    <w:abstractNumId w:val="19"/>
  </w:num>
  <w:num w:numId="29">
    <w:abstractNumId w:val="9"/>
  </w:num>
  <w:num w:numId="3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S0MDKyNDM0NDI3MTZU0lEKTi0uzszPAykwqgUAcjYI7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020FC1C7-38D4-4A4B-8DCD-3DDC7052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3"/>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link w:val="TableTitleChar"/>
    <w:qFormat/>
    <w:pPr>
      <w:numPr>
        <w:numId w:val="4"/>
      </w:numPr>
      <w:spacing w:before="360" w:after="120" w:line="240" w:lineRule="auto"/>
      <w:ind w:left="360"/>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18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5"/>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Footnotes">
    <w:name w:val="Footnotes"/>
    <w:basedOn w:val="BodyText"/>
    <w:qFormat/>
    <w:pPr>
      <w:framePr w:hSpace="187" w:wrap="around" w:hAnchor="margin" w:xAlign="center" w:y="2881"/>
      <w:spacing w:before="0" w:after="0"/>
    </w:pPr>
    <w:rPr>
      <w:rFonts w:ascii="Calibri" w:eastAsiaTheme="majorEastAsia" w:hAnsi="Calibri" w:cstheme="majorBidi"/>
      <w:i/>
      <w:sz w:val="18"/>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character" w:customStyle="1" w:styleId="BodyBulletsChar">
    <w:name w:val="BodyBullets Char"/>
    <w:basedOn w:val="DefaultParagraphFont"/>
    <w:link w:val="BodyBullets"/>
    <w:locked/>
    <w:rPr>
      <w:sz w:val="24"/>
      <w:szCs w:val="24"/>
    </w:rPr>
  </w:style>
  <w:style w:type="paragraph" w:customStyle="1" w:styleId="BodyBullets">
    <w:name w:val="BodyBullets"/>
    <w:basedOn w:val="BodyText"/>
    <w:link w:val="BodyBulletsChar"/>
    <w:qFormat/>
    <w:pPr>
      <w:spacing w:after="120"/>
      <w:ind w:left="720" w:hanging="360"/>
    </w:pPr>
  </w:style>
  <w:style w:type="paragraph" w:styleId="Revision">
    <w:name w:val="Revision"/>
    <w:hidden/>
    <w:uiPriority w:val="99"/>
    <w:semiHidden/>
    <w:pPr>
      <w:spacing w:after="0" w:line="240" w:lineRule="auto"/>
    </w:pPr>
  </w:style>
  <w:style w:type="paragraph" w:customStyle="1" w:styleId="xmsonormal">
    <w:name w:val="x_msonormal"/>
    <w:basedOn w:val="Normal"/>
    <w:pPr>
      <w:spacing w:after="0" w:line="240" w:lineRule="auto"/>
    </w:pPr>
    <w:rPr>
      <w:rFonts w:ascii="Calibri" w:hAnsi="Calibri" w:cs="Calibri"/>
    </w:rPr>
  </w:style>
  <w:style w:type="paragraph" w:customStyle="1" w:styleId="Subhead3">
    <w:name w:val="Subhead3"/>
    <w:basedOn w:val="Subhead2"/>
    <w:link w:val="Subhead3Char"/>
    <w:qFormat/>
    <w:pPr>
      <w:keepNext/>
    </w:pPr>
    <w:rPr>
      <w:b w:val="0"/>
      <w:bCs/>
      <w:sz w:val="22"/>
      <w:szCs w:val="22"/>
      <w:u w:val="single"/>
    </w:rPr>
  </w:style>
  <w:style w:type="character" w:customStyle="1" w:styleId="Subhead3Char">
    <w:name w:val="Subhead3 Char"/>
    <w:basedOn w:val="Subhead2Char"/>
    <w:link w:val="Subhead3"/>
    <w:rPr>
      <w:b w:val="0"/>
      <w:bCs/>
      <w:color w:val="808080" w:themeColor="background1" w:themeShade="80"/>
      <w:sz w:val="26"/>
      <w:szCs w:val="26"/>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igure">
    <w:name w:val="Figure"/>
    <w:basedOn w:val="TableTitle"/>
    <w:link w:val="FigureChar"/>
    <w:qFormat/>
  </w:style>
  <w:style w:type="paragraph" w:customStyle="1" w:styleId="Figure1">
    <w:name w:val="Figure1"/>
    <w:basedOn w:val="Figure"/>
    <w:link w:val="Figure1Char"/>
    <w:qFormat/>
  </w:style>
  <w:style w:type="character" w:customStyle="1" w:styleId="TableTitleChar">
    <w:name w:val="TableTitle Char"/>
    <w:basedOn w:val="ListParagraphChar"/>
    <w:link w:val="TableTitle"/>
    <w:rPr>
      <w:rFonts w:ascii="Cambria" w:hAnsi="Cambria"/>
      <w:b/>
      <w:i/>
      <w:color w:val="365F91" w:themeColor="accent1" w:themeShade="BF"/>
      <w:sz w:val="24"/>
    </w:rPr>
  </w:style>
  <w:style w:type="character" w:customStyle="1" w:styleId="FigureChar">
    <w:name w:val="Figure Char"/>
    <w:basedOn w:val="TableTitleChar"/>
    <w:link w:val="Figure"/>
    <w:rPr>
      <w:rFonts w:ascii="Cambria" w:hAnsi="Cambria"/>
      <w:b/>
      <w:i/>
      <w:color w:val="365F91" w:themeColor="accent1" w:themeShade="BF"/>
      <w:sz w:val="24"/>
    </w:rPr>
  </w:style>
  <w:style w:type="character" w:customStyle="1" w:styleId="Figure1Char">
    <w:name w:val="Figure1 Char"/>
    <w:basedOn w:val="FigureChar"/>
    <w:link w:val="Figure1"/>
    <w:rPr>
      <w:rFonts w:ascii="Cambria" w:hAnsi="Cambria"/>
      <w:b/>
      <w:i/>
      <w:color w:val="365F91" w:themeColor="accent1" w:themeShade="BF"/>
      <w:sz w:val="24"/>
    </w:rPr>
  </w:style>
  <w:style w:type="paragraph" w:customStyle="1" w:styleId="Body">
    <w:name w:val="Body"/>
    <w:basedOn w:val="Normal"/>
    <w:uiPriority w:val="1"/>
    <w:qFormat/>
    <w:pPr>
      <w:spacing w:after="24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1283">
      <w:bodyDiv w:val="1"/>
      <w:marLeft w:val="0"/>
      <w:marRight w:val="0"/>
      <w:marTop w:val="0"/>
      <w:marBottom w:val="0"/>
      <w:divBdr>
        <w:top w:val="none" w:sz="0" w:space="0" w:color="auto"/>
        <w:left w:val="none" w:sz="0" w:space="0" w:color="auto"/>
        <w:bottom w:val="none" w:sz="0" w:space="0" w:color="auto"/>
        <w:right w:val="none" w:sz="0" w:space="0" w:color="auto"/>
      </w:divBdr>
    </w:div>
    <w:div w:id="38821399">
      <w:bodyDiv w:val="1"/>
      <w:marLeft w:val="0"/>
      <w:marRight w:val="0"/>
      <w:marTop w:val="0"/>
      <w:marBottom w:val="0"/>
      <w:divBdr>
        <w:top w:val="none" w:sz="0" w:space="0" w:color="auto"/>
        <w:left w:val="none" w:sz="0" w:space="0" w:color="auto"/>
        <w:bottom w:val="none" w:sz="0" w:space="0" w:color="auto"/>
        <w:right w:val="none" w:sz="0" w:space="0" w:color="auto"/>
      </w:divBdr>
    </w:div>
    <w:div w:id="63837264">
      <w:bodyDiv w:val="1"/>
      <w:marLeft w:val="0"/>
      <w:marRight w:val="0"/>
      <w:marTop w:val="0"/>
      <w:marBottom w:val="0"/>
      <w:divBdr>
        <w:top w:val="none" w:sz="0" w:space="0" w:color="auto"/>
        <w:left w:val="none" w:sz="0" w:space="0" w:color="auto"/>
        <w:bottom w:val="none" w:sz="0" w:space="0" w:color="auto"/>
        <w:right w:val="none" w:sz="0" w:space="0" w:color="auto"/>
      </w:divBdr>
    </w:div>
    <w:div w:id="109781216">
      <w:bodyDiv w:val="1"/>
      <w:marLeft w:val="0"/>
      <w:marRight w:val="0"/>
      <w:marTop w:val="0"/>
      <w:marBottom w:val="0"/>
      <w:divBdr>
        <w:top w:val="none" w:sz="0" w:space="0" w:color="auto"/>
        <w:left w:val="none" w:sz="0" w:space="0" w:color="auto"/>
        <w:bottom w:val="none" w:sz="0" w:space="0" w:color="auto"/>
        <w:right w:val="none" w:sz="0" w:space="0" w:color="auto"/>
      </w:divBdr>
    </w:div>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214976353">
      <w:bodyDiv w:val="1"/>
      <w:marLeft w:val="0"/>
      <w:marRight w:val="0"/>
      <w:marTop w:val="0"/>
      <w:marBottom w:val="0"/>
      <w:divBdr>
        <w:top w:val="none" w:sz="0" w:space="0" w:color="auto"/>
        <w:left w:val="none" w:sz="0" w:space="0" w:color="auto"/>
        <w:bottom w:val="none" w:sz="0" w:space="0" w:color="auto"/>
        <w:right w:val="none" w:sz="0" w:space="0" w:color="auto"/>
      </w:divBdr>
    </w:div>
    <w:div w:id="231090628">
      <w:bodyDiv w:val="1"/>
      <w:marLeft w:val="0"/>
      <w:marRight w:val="0"/>
      <w:marTop w:val="0"/>
      <w:marBottom w:val="0"/>
      <w:divBdr>
        <w:top w:val="none" w:sz="0" w:space="0" w:color="auto"/>
        <w:left w:val="none" w:sz="0" w:space="0" w:color="auto"/>
        <w:bottom w:val="none" w:sz="0" w:space="0" w:color="auto"/>
        <w:right w:val="none" w:sz="0" w:space="0" w:color="auto"/>
      </w:divBdr>
    </w:div>
    <w:div w:id="292835336">
      <w:bodyDiv w:val="1"/>
      <w:marLeft w:val="0"/>
      <w:marRight w:val="0"/>
      <w:marTop w:val="0"/>
      <w:marBottom w:val="0"/>
      <w:divBdr>
        <w:top w:val="none" w:sz="0" w:space="0" w:color="auto"/>
        <w:left w:val="none" w:sz="0" w:space="0" w:color="auto"/>
        <w:bottom w:val="none" w:sz="0" w:space="0" w:color="auto"/>
        <w:right w:val="none" w:sz="0" w:space="0" w:color="auto"/>
      </w:divBdr>
    </w:div>
    <w:div w:id="404694315">
      <w:bodyDiv w:val="1"/>
      <w:marLeft w:val="0"/>
      <w:marRight w:val="0"/>
      <w:marTop w:val="0"/>
      <w:marBottom w:val="0"/>
      <w:divBdr>
        <w:top w:val="none" w:sz="0" w:space="0" w:color="auto"/>
        <w:left w:val="none" w:sz="0" w:space="0" w:color="auto"/>
        <w:bottom w:val="none" w:sz="0" w:space="0" w:color="auto"/>
        <w:right w:val="none" w:sz="0" w:space="0" w:color="auto"/>
      </w:divBdr>
    </w:div>
    <w:div w:id="425225175">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481393365">
      <w:bodyDiv w:val="1"/>
      <w:marLeft w:val="0"/>
      <w:marRight w:val="0"/>
      <w:marTop w:val="0"/>
      <w:marBottom w:val="0"/>
      <w:divBdr>
        <w:top w:val="none" w:sz="0" w:space="0" w:color="auto"/>
        <w:left w:val="none" w:sz="0" w:space="0" w:color="auto"/>
        <w:bottom w:val="none" w:sz="0" w:space="0" w:color="auto"/>
        <w:right w:val="none" w:sz="0" w:space="0" w:color="auto"/>
      </w:divBdr>
    </w:div>
    <w:div w:id="487012928">
      <w:bodyDiv w:val="1"/>
      <w:marLeft w:val="0"/>
      <w:marRight w:val="0"/>
      <w:marTop w:val="0"/>
      <w:marBottom w:val="0"/>
      <w:divBdr>
        <w:top w:val="none" w:sz="0" w:space="0" w:color="auto"/>
        <w:left w:val="none" w:sz="0" w:space="0" w:color="auto"/>
        <w:bottom w:val="none" w:sz="0" w:space="0" w:color="auto"/>
        <w:right w:val="none" w:sz="0" w:space="0" w:color="auto"/>
      </w:divBdr>
    </w:div>
    <w:div w:id="611475197">
      <w:bodyDiv w:val="1"/>
      <w:marLeft w:val="0"/>
      <w:marRight w:val="0"/>
      <w:marTop w:val="0"/>
      <w:marBottom w:val="0"/>
      <w:divBdr>
        <w:top w:val="none" w:sz="0" w:space="0" w:color="auto"/>
        <w:left w:val="none" w:sz="0" w:space="0" w:color="auto"/>
        <w:bottom w:val="none" w:sz="0" w:space="0" w:color="auto"/>
        <w:right w:val="none" w:sz="0" w:space="0" w:color="auto"/>
      </w:divBdr>
    </w:div>
    <w:div w:id="627735807">
      <w:bodyDiv w:val="1"/>
      <w:marLeft w:val="0"/>
      <w:marRight w:val="0"/>
      <w:marTop w:val="0"/>
      <w:marBottom w:val="0"/>
      <w:divBdr>
        <w:top w:val="none" w:sz="0" w:space="0" w:color="auto"/>
        <w:left w:val="none" w:sz="0" w:space="0" w:color="auto"/>
        <w:bottom w:val="none" w:sz="0" w:space="0" w:color="auto"/>
        <w:right w:val="none" w:sz="0" w:space="0" w:color="auto"/>
      </w:divBdr>
    </w:div>
    <w:div w:id="644118947">
      <w:bodyDiv w:val="1"/>
      <w:marLeft w:val="0"/>
      <w:marRight w:val="0"/>
      <w:marTop w:val="0"/>
      <w:marBottom w:val="0"/>
      <w:divBdr>
        <w:top w:val="none" w:sz="0" w:space="0" w:color="auto"/>
        <w:left w:val="none" w:sz="0" w:space="0" w:color="auto"/>
        <w:bottom w:val="none" w:sz="0" w:space="0" w:color="auto"/>
        <w:right w:val="none" w:sz="0" w:space="0" w:color="auto"/>
      </w:divBdr>
    </w:div>
    <w:div w:id="649990766">
      <w:bodyDiv w:val="1"/>
      <w:marLeft w:val="0"/>
      <w:marRight w:val="0"/>
      <w:marTop w:val="0"/>
      <w:marBottom w:val="0"/>
      <w:divBdr>
        <w:top w:val="none" w:sz="0" w:space="0" w:color="auto"/>
        <w:left w:val="none" w:sz="0" w:space="0" w:color="auto"/>
        <w:bottom w:val="none" w:sz="0" w:space="0" w:color="auto"/>
        <w:right w:val="none" w:sz="0" w:space="0" w:color="auto"/>
      </w:divBdr>
    </w:div>
    <w:div w:id="698049912">
      <w:bodyDiv w:val="1"/>
      <w:marLeft w:val="0"/>
      <w:marRight w:val="0"/>
      <w:marTop w:val="0"/>
      <w:marBottom w:val="0"/>
      <w:divBdr>
        <w:top w:val="none" w:sz="0" w:space="0" w:color="auto"/>
        <w:left w:val="none" w:sz="0" w:space="0" w:color="auto"/>
        <w:bottom w:val="none" w:sz="0" w:space="0" w:color="auto"/>
        <w:right w:val="none" w:sz="0" w:space="0" w:color="auto"/>
      </w:divBdr>
    </w:div>
    <w:div w:id="750349127">
      <w:bodyDiv w:val="1"/>
      <w:marLeft w:val="0"/>
      <w:marRight w:val="0"/>
      <w:marTop w:val="0"/>
      <w:marBottom w:val="0"/>
      <w:divBdr>
        <w:top w:val="none" w:sz="0" w:space="0" w:color="auto"/>
        <w:left w:val="none" w:sz="0" w:space="0" w:color="auto"/>
        <w:bottom w:val="none" w:sz="0" w:space="0" w:color="auto"/>
        <w:right w:val="none" w:sz="0" w:space="0" w:color="auto"/>
      </w:divBdr>
      <w:divsChild>
        <w:div w:id="277957034">
          <w:marLeft w:val="274"/>
          <w:marRight w:val="0"/>
          <w:marTop w:val="0"/>
          <w:marBottom w:val="0"/>
          <w:divBdr>
            <w:top w:val="none" w:sz="0" w:space="0" w:color="auto"/>
            <w:left w:val="none" w:sz="0" w:space="0" w:color="auto"/>
            <w:bottom w:val="none" w:sz="0" w:space="0" w:color="auto"/>
            <w:right w:val="none" w:sz="0" w:space="0" w:color="auto"/>
          </w:divBdr>
        </w:div>
        <w:div w:id="354843833">
          <w:marLeft w:val="274"/>
          <w:marRight w:val="0"/>
          <w:marTop w:val="0"/>
          <w:marBottom w:val="0"/>
          <w:divBdr>
            <w:top w:val="none" w:sz="0" w:space="0" w:color="auto"/>
            <w:left w:val="none" w:sz="0" w:space="0" w:color="auto"/>
            <w:bottom w:val="none" w:sz="0" w:space="0" w:color="auto"/>
            <w:right w:val="none" w:sz="0" w:space="0" w:color="auto"/>
          </w:divBdr>
        </w:div>
        <w:div w:id="874544522">
          <w:marLeft w:val="274"/>
          <w:marRight w:val="0"/>
          <w:marTop w:val="0"/>
          <w:marBottom w:val="0"/>
          <w:divBdr>
            <w:top w:val="none" w:sz="0" w:space="0" w:color="auto"/>
            <w:left w:val="none" w:sz="0" w:space="0" w:color="auto"/>
            <w:bottom w:val="none" w:sz="0" w:space="0" w:color="auto"/>
            <w:right w:val="none" w:sz="0" w:space="0" w:color="auto"/>
          </w:divBdr>
        </w:div>
        <w:div w:id="1960532343">
          <w:marLeft w:val="274"/>
          <w:marRight w:val="0"/>
          <w:marTop w:val="0"/>
          <w:marBottom w:val="0"/>
          <w:divBdr>
            <w:top w:val="none" w:sz="0" w:space="0" w:color="auto"/>
            <w:left w:val="none" w:sz="0" w:space="0" w:color="auto"/>
            <w:bottom w:val="none" w:sz="0" w:space="0" w:color="auto"/>
            <w:right w:val="none" w:sz="0" w:space="0" w:color="auto"/>
          </w:divBdr>
        </w:div>
      </w:divsChild>
    </w:div>
    <w:div w:id="81915406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875044989">
      <w:bodyDiv w:val="1"/>
      <w:marLeft w:val="0"/>
      <w:marRight w:val="0"/>
      <w:marTop w:val="0"/>
      <w:marBottom w:val="0"/>
      <w:divBdr>
        <w:top w:val="none" w:sz="0" w:space="0" w:color="auto"/>
        <w:left w:val="none" w:sz="0" w:space="0" w:color="auto"/>
        <w:bottom w:val="none" w:sz="0" w:space="0" w:color="auto"/>
        <w:right w:val="none" w:sz="0" w:space="0" w:color="auto"/>
      </w:divBdr>
    </w:div>
    <w:div w:id="896207699">
      <w:bodyDiv w:val="1"/>
      <w:marLeft w:val="0"/>
      <w:marRight w:val="0"/>
      <w:marTop w:val="0"/>
      <w:marBottom w:val="0"/>
      <w:divBdr>
        <w:top w:val="none" w:sz="0" w:space="0" w:color="auto"/>
        <w:left w:val="none" w:sz="0" w:space="0" w:color="auto"/>
        <w:bottom w:val="none" w:sz="0" w:space="0" w:color="auto"/>
        <w:right w:val="none" w:sz="0" w:space="0" w:color="auto"/>
      </w:divBdr>
    </w:div>
    <w:div w:id="980689550">
      <w:bodyDiv w:val="1"/>
      <w:marLeft w:val="0"/>
      <w:marRight w:val="0"/>
      <w:marTop w:val="0"/>
      <w:marBottom w:val="0"/>
      <w:divBdr>
        <w:top w:val="none" w:sz="0" w:space="0" w:color="auto"/>
        <w:left w:val="none" w:sz="0" w:space="0" w:color="auto"/>
        <w:bottom w:val="none" w:sz="0" w:space="0" w:color="auto"/>
        <w:right w:val="none" w:sz="0" w:space="0" w:color="auto"/>
      </w:divBdr>
    </w:div>
    <w:div w:id="1013385026">
      <w:bodyDiv w:val="1"/>
      <w:marLeft w:val="0"/>
      <w:marRight w:val="0"/>
      <w:marTop w:val="0"/>
      <w:marBottom w:val="0"/>
      <w:divBdr>
        <w:top w:val="none" w:sz="0" w:space="0" w:color="auto"/>
        <w:left w:val="none" w:sz="0" w:space="0" w:color="auto"/>
        <w:bottom w:val="none" w:sz="0" w:space="0" w:color="auto"/>
        <w:right w:val="none" w:sz="0" w:space="0" w:color="auto"/>
      </w:divBdr>
    </w:div>
    <w:div w:id="1046564999">
      <w:bodyDiv w:val="1"/>
      <w:marLeft w:val="0"/>
      <w:marRight w:val="0"/>
      <w:marTop w:val="0"/>
      <w:marBottom w:val="0"/>
      <w:divBdr>
        <w:top w:val="none" w:sz="0" w:space="0" w:color="auto"/>
        <w:left w:val="none" w:sz="0" w:space="0" w:color="auto"/>
        <w:bottom w:val="none" w:sz="0" w:space="0" w:color="auto"/>
        <w:right w:val="none" w:sz="0" w:space="0" w:color="auto"/>
      </w:divBdr>
    </w:div>
    <w:div w:id="1055010378">
      <w:bodyDiv w:val="1"/>
      <w:marLeft w:val="0"/>
      <w:marRight w:val="0"/>
      <w:marTop w:val="0"/>
      <w:marBottom w:val="0"/>
      <w:divBdr>
        <w:top w:val="none" w:sz="0" w:space="0" w:color="auto"/>
        <w:left w:val="none" w:sz="0" w:space="0" w:color="auto"/>
        <w:bottom w:val="none" w:sz="0" w:space="0" w:color="auto"/>
        <w:right w:val="none" w:sz="0" w:space="0" w:color="auto"/>
      </w:divBdr>
    </w:div>
    <w:div w:id="1116094840">
      <w:bodyDiv w:val="1"/>
      <w:marLeft w:val="0"/>
      <w:marRight w:val="0"/>
      <w:marTop w:val="0"/>
      <w:marBottom w:val="0"/>
      <w:divBdr>
        <w:top w:val="none" w:sz="0" w:space="0" w:color="auto"/>
        <w:left w:val="none" w:sz="0" w:space="0" w:color="auto"/>
        <w:bottom w:val="none" w:sz="0" w:space="0" w:color="auto"/>
        <w:right w:val="none" w:sz="0" w:space="0" w:color="auto"/>
      </w:divBdr>
    </w:div>
    <w:div w:id="1126243930">
      <w:bodyDiv w:val="1"/>
      <w:marLeft w:val="0"/>
      <w:marRight w:val="0"/>
      <w:marTop w:val="0"/>
      <w:marBottom w:val="0"/>
      <w:divBdr>
        <w:top w:val="none" w:sz="0" w:space="0" w:color="auto"/>
        <w:left w:val="none" w:sz="0" w:space="0" w:color="auto"/>
        <w:bottom w:val="none" w:sz="0" w:space="0" w:color="auto"/>
        <w:right w:val="none" w:sz="0" w:space="0" w:color="auto"/>
      </w:divBdr>
    </w:div>
    <w:div w:id="1156848148">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254053047">
      <w:bodyDiv w:val="1"/>
      <w:marLeft w:val="0"/>
      <w:marRight w:val="0"/>
      <w:marTop w:val="0"/>
      <w:marBottom w:val="0"/>
      <w:divBdr>
        <w:top w:val="none" w:sz="0" w:space="0" w:color="auto"/>
        <w:left w:val="none" w:sz="0" w:space="0" w:color="auto"/>
        <w:bottom w:val="none" w:sz="0" w:space="0" w:color="auto"/>
        <w:right w:val="none" w:sz="0" w:space="0" w:color="auto"/>
      </w:divBdr>
    </w:div>
    <w:div w:id="1267152053">
      <w:bodyDiv w:val="1"/>
      <w:marLeft w:val="0"/>
      <w:marRight w:val="0"/>
      <w:marTop w:val="0"/>
      <w:marBottom w:val="0"/>
      <w:divBdr>
        <w:top w:val="none" w:sz="0" w:space="0" w:color="auto"/>
        <w:left w:val="none" w:sz="0" w:space="0" w:color="auto"/>
        <w:bottom w:val="none" w:sz="0" w:space="0" w:color="auto"/>
        <w:right w:val="none" w:sz="0" w:space="0" w:color="auto"/>
      </w:divBdr>
    </w:div>
    <w:div w:id="1331761317">
      <w:bodyDiv w:val="1"/>
      <w:marLeft w:val="0"/>
      <w:marRight w:val="0"/>
      <w:marTop w:val="0"/>
      <w:marBottom w:val="0"/>
      <w:divBdr>
        <w:top w:val="none" w:sz="0" w:space="0" w:color="auto"/>
        <w:left w:val="none" w:sz="0" w:space="0" w:color="auto"/>
        <w:bottom w:val="none" w:sz="0" w:space="0" w:color="auto"/>
        <w:right w:val="none" w:sz="0" w:space="0" w:color="auto"/>
      </w:divBdr>
    </w:div>
    <w:div w:id="1356807967">
      <w:bodyDiv w:val="1"/>
      <w:marLeft w:val="0"/>
      <w:marRight w:val="0"/>
      <w:marTop w:val="0"/>
      <w:marBottom w:val="0"/>
      <w:divBdr>
        <w:top w:val="none" w:sz="0" w:space="0" w:color="auto"/>
        <w:left w:val="none" w:sz="0" w:space="0" w:color="auto"/>
        <w:bottom w:val="none" w:sz="0" w:space="0" w:color="auto"/>
        <w:right w:val="none" w:sz="0" w:space="0" w:color="auto"/>
      </w:divBdr>
    </w:div>
    <w:div w:id="1447457765">
      <w:bodyDiv w:val="1"/>
      <w:marLeft w:val="0"/>
      <w:marRight w:val="0"/>
      <w:marTop w:val="0"/>
      <w:marBottom w:val="0"/>
      <w:divBdr>
        <w:top w:val="none" w:sz="0" w:space="0" w:color="auto"/>
        <w:left w:val="none" w:sz="0" w:space="0" w:color="auto"/>
        <w:bottom w:val="none" w:sz="0" w:space="0" w:color="auto"/>
        <w:right w:val="none" w:sz="0" w:space="0" w:color="auto"/>
      </w:divBdr>
    </w:div>
    <w:div w:id="1518036630">
      <w:bodyDiv w:val="1"/>
      <w:marLeft w:val="0"/>
      <w:marRight w:val="0"/>
      <w:marTop w:val="0"/>
      <w:marBottom w:val="0"/>
      <w:divBdr>
        <w:top w:val="none" w:sz="0" w:space="0" w:color="auto"/>
        <w:left w:val="none" w:sz="0" w:space="0" w:color="auto"/>
        <w:bottom w:val="none" w:sz="0" w:space="0" w:color="auto"/>
        <w:right w:val="none" w:sz="0" w:space="0" w:color="auto"/>
      </w:divBdr>
    </w:div>
    <w:div w:id="1530873740">
      <w:bodyDiv w:val="1"/>
      <w:marLeft w:val="0"/>
      <w:marRight w:val="0"/>
      <w:marTop w:val="0"/>
      <w:marBottom w:val="0"/>
      <w:divBdr>
        <w:top w:val="none" w:sz="0" w:space="0" w:color="auto"/>
        <w:left w:val="none" w:sz="0" w:space="0" w:color="auto"/>
        <w:bottom w:val="none" w:sz="0" w:space="0" w:color="auto"/>
        <w:right w:val="none" w:sz="0" w:space="0" w:color="auto"/>
      </w:divBdr>
    </w:div>
    <w:div w:id="1576622297">
      <w:bodyDiv w:val="1"/>
      <w:marLeft w:val="0"/>
      <w:marRight w:val="0"/>
      <w:marTop w:val="0"/>
      <w:marBottom w:val="0"/>
      <w:divBdr>
        <w:top w:val="none" w:sz="0" w:space="0" w:color="auto"/>
        <w:left w:val="none" w:sz="0" w:space="0" w:color="auto"/>
        <w:bottom w:val="none" w:sz="0" w:space="0" w:color="auto"/>
        <w:right w:val="none" w:sz="0" w:space="0" w:color="auto"/>
      </w:divBdr>
    </w:div>
    <w:div w:id="1664774521">
      <w:bodyDiv w:val="1"/>
      <w:marLeft w:val="0"/>
      <w:marRight w:val="0"/>
      <w:marTop w:val="0"/>
      <w:marBottom w:val="0"/>
      <w:divBdr>
        <w:top w:val="none" w:sz="0" w:space="0" w:color="auto"/>
        <w:left w:val="none" w:sz="0" w:space="0" w:color="auto"/>
        <w:bottom w:val="none" w:sz="0" w:space="0" w:color="auto"/>
        <w:right w:val="none" w:sz="0" w:space="0" w:color="auto"/>
      </w:divBdr>
    </w:div>
    <w:div w:id="1730222862">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 w:id="1758400284">
      <w:bodyDiv w:val="1"/>
      <w:marLeft w:val="0"/>
      <w:marRight w:val="0"/>
      <w:marTop w:val="0"/>
      <w:marBottom w:val="0"/>
      <w:divBdr>
        <w:top w:val="none" w:sz="0" w:space="0" w:color="auto"/>
        <w:left w:val="none" w:sz="0" w:space="0" w:color="auto"/>
        <w:bottom w:val="none" w:sz="0" w:space="0" w:color="auto"/>
        <w:right w:val="none" w:sz="0" w:space="0" w:color="auto"/>
      </w:divBdr>
    </w:div>
    <w:div w:id="1763066088">
      <w:bodyDiv w:val="1"/>
      <w:marLeft w:val="0"/>
      <w:marRight w:val="0"/>
      <w:marTop w:val="0"/>
      <w:marBottom w:val="0"/>
      <w:divBdr>
        <w:top w:val="none" w:sz="0" w:space="0" w:color="auto"/>
        <w:left w:val="none" w:sz="0" w:space="0" w:color="auto"/>
        <w:bottom w:val="none" w:sz="0" w:space="0" w:color="auto"/>
        <w:right w:val="none" w:sz="0" w:space="0" w:color="auto"/>
      </w:divBdr>
    </w:div>
    <w:div w:id="1810435531">
      <w:bodyDiv w:val="1"/>
      <w:marLeft w:val="0"/>
      <w:marRight w:val="0"/>
      <w:marTop w:val="0"/>
      <w:marBottom w:val="0"/>
      <w:divBdr>
        <w:top w:val="none" w:sz="0" w:space="0" w:color="auto"/>
        <w:left w:val="none" w:sz="0" w:space="0" w:color="auto"/>
        <w:bottom w:val="none" w:sz="0" w:space="0" w:color="auto"/>
        <w:right w:val="none" w:sz="0" w:space="0" w:color="auto"/>
      </w:divBdr>
    </w:div>
    <w:div w:id="1863738250">
      <w:bodyDiv w:val="1"/>
      <w:marLeft w:val="0"/>
      <w:marRight w:val="0"/>
      <w:marTop w:val="0"/>
      <w:marBottom w:val="0"/>
      <w:divBdr>
        <w:top w:val="none" w:sz="0" w:space="0" w:color="auto"/>
        <w:left w:val="none" w:sz="0" w:space="0" w:color="auto"/>
        <w:bottom w:val="none" w:sz="0" w:space="0" w:color="auto"/>
        <w:right w:val="none" w:sz="0" w:space="0" w:color="auto"/>
      </w:divBdr>
    </w:div>
    <w:div w:id="1897157194">
      <w:bodyDiv w:val="1"/>
      <w:marLeft w:val="0"/>
      <w:marRight w:val="0"/>
      <w:marTop w:val="0"/>
      <w:marBottom w:val="0"/>
      <w:divBdr>
        <w:top w:val="none" w:sz="0" w:space="0" w:color="auto"/>
        <w:left w:val="none" w:sz="0" w:space="0" w:color="auto"/>
        <w:bottom w:val="none" w:sz="0" w:space="0" w:color="auto"/>
        <w:right w:val="none" w:sz="0" w:space="0" w:color="auto"/>
      </w:divBdr>
    </w:div>
    <w:div w:id="1936471301">
      <w:bodyDiv w:val="1"/>
      <w:marLeft w:val="0"/>
      <w:marRight w:val="0"/>
      <w:marTop w:val="0"/>
      <w:marBottom w:val="0"/>
      <w:divBdr>
        <w:top w:val="none" w:sz="0" w:space="0" w:color="auto"/>
        <w:left w:val="none" w:sz="0" w:space="0" w:color="auto"/>
        <w:bottom w:val="none" w:sz="0" w:space="0" w:color="auto"/>
        <w:right w:val="none" w:sz="0" w:space="0" w:color="auto"/>
      </w:divBdr>
    </w:div>
    <w:div w:id="1941252479">
      <w:bodyDiv w:val="1"/>
      <w:marLeft w:val="0"/>
      <w:marRight w:val="0"/>
      <w:marTop w:val="0"/>
      <w:marBottom w:val="0"/>
      <w:divBdr>
        <w:top w:val="none" w:sz="0" w:space="0" w:color="auto"/>
        <w:left w:val="none" w:sz="0" w:space="0" w:color="auto"/>
        <w:bottom w:val="none" w:sz="0" w:space="0" w:color="auto"/>
        <w:right w:val="none" w:sz="0" w:space="0" w:color="auto"/>
      </w:divBdr>
    </w:div>
    <w:div w:id="1967471087">
      <w:bodyDiv w:val="1"/>
      <w:marLeft w:val="0"/>
      <w:marRight w:val="0"/>
      <w:marTop w:val="0"/>
      <w:marBottom w:val="0"/>
      <w:divBdr>
        <w:top w:val="none" w:sz="0" w:space="0" w:color="auto"/>
        <w:left w:val="none" w:sz="0" w:space="0" w:color="auto"/>
        <w:bottom w:val="none" w:sz="0" w:space="0" w:color="auto"/>
        <w:right w:val="none" w:sz="0" w:space="0" w:color="auto"/>
      </w:divBdr>
    </w:div>
    <w:div w:id="1969385770">
      <w:bodyDiv w:val="1"/>
      <w:marLeft w:val="0"/>
      <w:marRight w:val="0"/>
      <w:marTop w:val="0"/>
      <w:marBottom w:val="0"/>
      <w:divBdr>
        <w:top w:val="none" w:sz="0" w:space="0" w:color="auto"/>
        <w:left w:val="none" w:sz="0" w:space="0" w:color="auto"/>
        <w:bottom w:val="none" w:sz="0" w:space="0" w:color="auto"/>
        <w:right w:val="none" w:sz="0" w:space="0" w:color="auto"/>
      </w:divBdr>
    </w:div>
    <w:div w:id="1977251444">
      <w:bodyDiv w:val="1"/>
      <w:marLeft w:val="0"/>
      <w:marRight w:val="0"/>
      <w:marTop w:val="0"/>
      <w:marBottom w:val="0"/>
      <w:divBdr>
        <w:top w:val="none" w:sz="0" w:space="0" w:color="auto"/>
        <w:left w:val="none" w:sz="0" w:space="0" w:color="auto"/>
        <w:bottom w:val="none" w:sz="0" w:space="0" w:color="auto"/>
        <w:right w:val="none" w:sz="0" w:space="0" w:color="auto"/>
      </w:divBdr>
    </w:div>
    <w:div w:id="2007632165">
      <w:bodyDiv w:val="1"/>
      <w:marLeft w:val="0"/>
      <w:marRight w:val="0"/>
      <w:marTop w:val="0"/>
      <w:marBottom w:val="0"/>
      <w:divBdr>
        <w:top w:val="none" w:sz="0" w:space="0" w:color="auto"/>
        <w:left w:val="none" w:sz="0" w:space="0" w:color="auto"/>
        <w:bottom w:val="none" w:sz="0" w:space="0" w:color="auto"/>
        <w:right w:val="none" w:sz="0" w:space="0" w:color="auto"/>
      </w:divBdr>
    </w:div>
    <w:div w:id="2015188288">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
    <w:div w:id="21246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B7C4-86CC-47DF-8B99-C58FF1C2A92A}">
  <ds:schemaRefs>
    <ds:schemaRef ds:uri="http://schemas.microsoft.com/sharepoint/v3/contenttype/forms"/>
  </ds:schemaRefs>
</ds:datastoreItem>
</file>

<file path=customXml/itemProps2.xml><?xml version="1.0" encoding="utf-8"?>
<ds:datastoreItem xmlns:ds="http://schemas.openxmlformats.org/officeDocument/2006/customXml" ds:itemID="{F4796DF6-EBF9-46A7-BD57-1AFD1ABF0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5FD15-B38C-44AF-94CB-CF2A472B5887}">
  <ds:schemaRefs>
    <ds:schemaRef ds:uri="http://schemas.microsoft.com/office/infopath/2007/PartnerControls"/>
    <ds:schemaRef ds:uri="1fbcb9d6-207f-4e16-a5d1-f89975f2d4d3"/>
    <ds:schemaRef ds:uri="http://purl.org/dc/terms/"/>
    <ds:schemaRef ds:uri="http://schemas.openxmlformats.org/package/2006/metadata/core-properties"/>
    <ds:schemaRef ds:uri="http://schemas.microsoft.com/office/2006/documentManagement/types"/>
    <ds:schemaRef ds:uri="dbe189f2-33cc-49da-83a0-e3adac0b502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11075F3-8E39-49B3-918B-64F4551F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Evaluation Criteria</vt:lpstr>
    </vt:vector>
  </TitlesOfParts>
  <Company>[Date] Report to the Board of Directors: Title</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dc:title>
  <dc:subject>Exhibit Title</dc:subject>
  <dc:creator>Puget Sound Energy</dc:creator>
  <cp:keywords/>
  <cp:lastModifiedBy>Spector, Kimo</cp:lastModifiedBy>
  <cp:revision>2</cp:revision>
  <cp:lastPrinted>2021-06-08T21:08:00Z</cp:lastPrinted>
  <dcterms:created xsi:type="dcterms:W3CDTF">2024-05-16T00:36:00Z</dcterms:created>
  <dcterms:modified xsi:type="dcterms:W3CDTF">2024-05-16T00:36:00Z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