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ajorHAnsi" w:eastAsiaTheme="majorEastAsia" w:hAnsiTheme="majorHAnsi" w:cstheme="majorBidi"/>
          <w:lang w:eastAsia="en-US"/>
        </w:rPr>
        <w:id w:val="1253861236"/>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tc>
              <w:tcPr>
                <w:tcW w:w="7627" w:type="dxa"/>
                <w:tcMar>
                  <w:top w:w="216" w:type="dxa"/>
                  <w:left w:w="115" w:type="dxa"/>
                  <w:bottom w:w="216" w:type="dxa"/>
                  <w:right w:w="115" w:type="dxa"/>
                </w:tcMar>
              </w:tcPr>
              <w:p>
                <w:pPr>
                  <w:pStyle w:val="NoSpacing"/>
                  <w:spacing w:line="276" w:lineRule="auto"/>
                  <w:rPr>
                    <w:rFonts w:asciiTheme="majorHAnsi" w:eastAsiaTheme="majorEastAsia" w:hAnsiTheme="majorHAnsi" w:cstheme="majorBidi"/>
                  </w:rPr>
                </w:pPr>
              </w:p>
              <w:p>
                <w:pPr>
                  <w:pStyle w:val="NoSpacing"/>
                  <w:spacing w:line="276" w:lineRule="auto"/>
                  <w:rPr>
                    <w:rFonts w:eastAsiaTheme="majorEastAsia" w:cstheme="majorBidi"/>
                    <w:i/>
                    <w:sz w:val="28"/>
                  </w:rPr>
                </w:pPr>
                <w:r>
                  <w:rPr>
                    <w:rFonts w:eastAsiaTheme="majorEastAsia" w:cstheme="majorBidi"/>
                    <w:i/>
                    <w:sz w:val="28"/>
                  </w:rPr>
                  <w:t xml:space="preserve">2024 Distributed Solar and Storage Resources RFP: </w:t>
                </w:r>
              </w:p>
            </w:tc>
          </w:tr>
          <w:tr>
            <w:tc>
              <w:tcPr>
                <w:tcW w:w="762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I. Resources</w:t>
                </w:r>
              </w:p>
            </w:tc>
          </w:tr>
          <w:tr>
            <w:tc>
              <w:tcPr>
                <w:tcW w:w="762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p/>
        <w:p>
          <w:r>
            <w:rPr>
              <w:noProof/>
            </w:rPr>
            <w:drawing>
              <wp:anchor distT="0" distB="0" distL="114300" distR="114300" simplePos="0" relativeHeight="251659264"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Pr>
            <w:rPr>
              <w:sz w:val="24"/>
              <w:szCs w:val="24"/>
            </w:rPr>
          </w:pPr>
          <w:r>
            <w:rPr>
              <w:b/>
              <w:i/>
              <w:sz w:val="24"/>
              <w:szCs w:val="24"/>
            </w:rPr>
            <w:br w:type="page"/>
          </w:r>
        </w:p>
      </w:sdtContent>
    </w:sdt>
    <w:bookmarkEnd w:id="0"/>
    <w:p>
      <w:pPr>
        <w:pStyle w:val="Subhead1"/>
        <w:ind w:left="0"/>
      </w:pPr>
      <w:r>
        <w:lastRenderedPageBreak/>
        <w:t>Resources</w:t>
      </w:r>
    </w:p>
    <w:sdt>
      <w:sdtPr>
        <w:rPr>
          <w:sz w:val="24"/>
          <w:szCs w:val="24"/>
        </w:rPr>
        <w:id w:val="737755868"/>
        <w:docPartObj>
          <w:docPartGallery w:val="Cover Pages"/>
          <w:docPartUnique/>
        </w:docPartObj>
      </w:sdtPr>
      <w:sdtContent>
        <w:p>
          <w:pPr>
            <w:spacing w:after="240" w:line="240" w:lineRule="auto"/>
            <w:jc w:val="both"/>
            <w:rPr>
              <w:rFonts w:eastAsia="Times New Roman" w:cs="Arial"/>
              <w:color w:val="000000"/>
              <w:sz w:val="24"/>
              <w:szCs w:val="24"/>
            </w:rPr>
          </w:pPr>
          <w:r>
            <w:rPr>
              <w:rFonts w:eastAsia="Times New Roman" w:cs="Arial"/>
              <w:color w:val="000000" w:themeColor="text1"/>
              <w:sz w:val="24"/>
              <w:szCs w:val="24"/>
            </w:rPr>
            <w:t xml:space="preserve">The purpose of Exhibit I is to give respondents to the DSS RFP resources to help understand the context in which PSE is acquiring DERs by providing recent regulatory filings and information on PSE’s distribution system. </w:t>
          </w:r>
        </w:p>
        <w:p>
          <w:pPr>
            <w:pStyle w:val="Subhead2"/>
          </w:pPr>
          <w:r>
            <w:t>Regulatory Filings and Information</w:t>
          </w:r>
        </w:p>
        <w:p>
          <w:pPr>
            <w:pStyle w:val="BodyBullets"/>
          </w:pPr>
          <w:r>
            <w:t>PSE’s 2023 Electric Progress Report (</w:t>
          </w:r>
          <w:hyperlink r:id="rId12" w:history="1">
            <w:r>
              <w:rPr>
                <w:rStyle w:val="Hyperlink"/>
              </w:rPr>
              <w:t>l</w:t>
            </w:r>
            <w:bookmarkStart w:id="1" w:name="_GoBack"/>
            <w:bookmarkEnd w:id="1"/>
            <w:r>
              <w:rPr>
                <w:rStyle w:val="Hyperlink"/>
              </w:rPr>
              <w:t>i</w:t>
            </w:r>
            <w:r>
              <w:rPr>
                <w:rStyle w:val="Hyperlink"/>
              </w:rPr>
              <w:t>n</w:t>
            </w:r>
            <w:r>
              <w:rPr>
                <w:rStyle w:val="Hyperlink"/>
              </w:rPr>
              <w:t>k</w:t>
            </w:r>
          </w:hyperlink>
          <w:r>
            <w:t>)</w:t>
          </w:r>
        </w:p>
        <w:p>
          <w:pPr>
            <w:pStyle w:val="BodyBullets"/>
          </w:pPr>
          <w:r>
            <w:t>PSE’s 2023 Distributed Solar and Storage Request for Proposals (</w:t>
          </w:r>
          <w:hyperlink r:id="rId13" w:history="1">
            <w:r>
              <w:rPr>
                <w:rStyle w:val="Hyperlink"/>
              </w:rPr>
              <w:t>li</w:t>
            </w:r>
            <w:r>
              <w:rPr>
                <w:rStyle w:val="Hyperlink"/>
              </w:rPr>
              <w:t>n</w:t>
            </w:r>
            <w:r>
              <w:rPr>
                <w:rStyle w:val="Hyperlink"/>
              </w:rPr>
              <w:t>k</w:t>
            </w:r>
          </w:hyperlink>
          <w:r>
            <w:t>)</w:t>
          </w:r>
        </w:p>
        <w:p>
          <w:pPr>
            <w:pStyle w:val="BodyBullets"/>
          </w:pPr>
          <w:r>
            <w:t>PSE’s 2021 Clean Energy Implementation Plan (</w:t>
          </w:r>
          <w:hyperlink r:id="rId14" w:history="1">
            <w:r>
              <w:rPr>
                <w:rStyle w:val="Hyperlink"/>
              </w:rPr>
              <w:t>lin</w:t>
            </w:r>
            <w:r>
              <w:rPr>
                <w:rStyle w:val="Hyperlink"/>
              </w:rPr>
              <w:t>k</w:t>
            </w:r>
          </w:hyperlink>
          <w:r>
            <w:t>)</w:t>
          </w:r>
        </w:p>
        <w:p>
          <w:pPr>
            <w:pStyle w:val="BodyBullets"/>
            <w:numPr>
              <w:ilvl w:val="1"/>
              <w:numId w:val="4"/>
            </w:numPr>
          </w:pPr>
          <w:r>
            <w:t>PSE’s 2023 Biennial CEIP update (</w:t>
          </w:r>
          <w:hyperlink r:id="rId15" w:history="1">
            <w:r>
              <w:rPr>
                <w:rStyle w:val="Hyperlink"/>
              </w:rPr>
              <w:t>lin</w:t>
            </w:r>
            <w:r>
              <w:rPr>
                <w:rStyle w:val="Hyperlink"/>
              </w:rPr>
              <w:t>k</w:t>
            </w:r>
          </w:hyperlink>
          <w:r>
            <w:t xml:space="preserve">) </w:t>
          </w:r>
        </w:p>
        <w:p>
          <w:pPr>
            <w:pStyle w:val="BodyBullets"/>
          </w:pPr>
          <w:r>
            <w:t>CETA Definition of Highly Impacted Community (</w:t>
          </w:r>
          <w:hyperlink r:id="rId16" w:history="1">
            <w:r>
              <w:rPr>
                <w:rStyle w:val="Hyperlink"/>
              </w:rPr>
              <w:t>link</w:t>
            </w:r>
          </w:hyperlink>
          <w:r>
            <w:t>)</w:t>
          </w:r>
        </w:p>
        <w:p>
          <w:pPr>
            <w:pStyle w:val="Subhead2"/>
          </w:pPr>
          <w:r>
            <w:t>PSE Distribution System Information</w:t>
          </w:r>
        </w:p>
        <w:p>
          <w:pPr>
            <w:pStyle w:val="BodyBullets"/>
          </w:pPr>
          <w:r>
            <w:t xml:space="preserve">PSE is updating its Hosting Capacity Map, but the latest version of the map can be found here </w:t>
          </w:r>
          <w:hyperlink r:id="rId17">
            <w:r>
              <w:rPr>
                <w:rStyle w:val="Hyperlink"/>
              </w:rPr>
              <w:t>li</w:t>
            </w:r>
            <w:r>
              <w:rPr>
                <w:rStyle w:val="Hyperlink"/>
              </w:rPr>
              <w:t>n</w:t>
            </w:r>
            <w:r>
              <w:rPr>
                <w:rStyle w:val="Hyperlink"/>
              </w:rPr>
              <w:t>k</w:t>
            </w:r>
          </w:hyperlink>
          <w:r>
            <w:t xml:space="preserve">. </w:t>
          </w:r>
        </w:p>
        <w:p>
          <w:pPr>
            <w:pStyle w:val="BodyBullets"/>
            <w:numPr>
              <w:ilvl w:val="1"/>
              <w:numId w:val="4"/>
            </w:numPr>
          </w:pPr>
          <w:r>
            <w:t xml:space="preserve">A recent filter added to the HCA is the DER Priority – Yes layer, which highlights all the feeders that would benefit from a DER. PSE is providing additional points to proposals with projects interconnecting to these strategic feeders. Below is a snippet of the layer list and be sure to uncheck the Hosting Capacity layer in order to see the DER Priority – Yes layer. </w:t>
          </w:r>
        </w:p>
        <w:p>
          <w:pPr>
            <w:pStyle w:val="BodyBullets"/>
            <w:numPr>
              <w:ilvl w:val="0"/>
              <w:numId w:val="0"/>
            </w:numPr>
            <w:ind w:left="1440"/>
          </w:pPr>
          <w:r>
            <w:rPr>
              <w:noProof/>
            </w:rPr>
            <w:drawing>
              <wp:inline distT="0" distB="0" distL="0" distR="0">
                <wp:extent cx="2732629" cy="24179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2712" cy="2426838"/>
                        </a:xfrm>
                        <a:prstGeom prst="rect">
                          <a:avLst/>
                        </a:prstGeom>
                      </pic:spPr>
                    </pic:pic>
                  </a:graphicData>
                </a:graphic>
              </wp:inline>
            </w:drawing>
          </w:r>
        </w:p>
        <w:p>
          <w:pPr>
            <w:pStyle w:val="BodyBullets"/>
            <w:numPr>
              <w:ilvl w:val="1"/>
              <w:numId w:val="4"/>
            </w:numPr>
          </w:pPr>
          <w:r>
            <w:t xml:space="preserve">Another important metric to note is the DER in Queue value, which is provided on a table whenever you click on a feeder. This metric provides the total MW amount </w:t>
          </w:r>
          <w:r>
            <w:lastRenderedPageBreak/>
            <w:t xml:space="preserve">of DERs that are currently in the interconnection queue to be added to that feeder. If a feeder is projected to be over saturated with DERs it creates additional costs, delays and risks to any project seeking to connect to that congested feeder. PSE will deduct points from proposals with any projects looking to interconnect to feeders with DERs currently in queue. Below is a specific example of a problematic feeder at </w:t>
          </w:r>
          <w:proofErr w:type="spellStart"/>
          <w:r>
            <w:t>Dieringer</w:t>
          </w:r>
          <w:proofErr w:type="spellEnd"/>
          <w:r>
            <w:t xml:space="preserve"> where the current DERs in queue are exceeding what the feeder could host.</w:t>
          </w:r>
        </w:p>
        <w:p>
          <w:pPr>
            <w:pStyle w:val="BodyBullets"/>
            <w:numPr>
              <w:ilvl w:val="0"/>
              <w:numId w:val="0"/>
            </w:numPr>
            <w:ind w:left="1440"/>
          </w:pPr>
        </w:p>
        <w:p>
          <w:pPr>
            <w:pStyle w:val="BodyBullets"/>
            <w:numPr>
              <w:ilvl w:val="0"/>
              <w:numId w:val="0"/>
            </w:numPr>
            <w:ind w:left="1440"/>
          </w:pPr>
          <w:r>
            <w:rPr>
              <w:noProof/>
            </w:rPr>
            <w:drawing>
              <wp:inline distT="0" distB="0" distL="0" distR="0">
                <wp:extent cx="2971800" cy="3514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71800" cy="3514725"/>
                        </a:xfrm>
                        <a:prstGeom prst="rect">
                          <a:avLst/>
                        </a:prstGeom>
                      </pic:spPr>
                    </pic:pic>
                  </a:graphicData>
                </a:graphic>
              </wp:inline>
            </w:drawing>
          </w:r>
        </w:p>
        <w:p>
          <w:pPr>
            <w:pStyle w:val="BodyBullets"/>
            <w:spacing w:after="0"/>
            <w:rPr>
              <w:rStyle w:val="Hyperlink"/>
              <w:color w:val="auto"/>
              <w:u w:val="none"/>
            </w:rPr>
          </w:pPr>
          <w:r>
            <w:t xml:space="preserve">The Oasis portal where all technical specifications can be found here at </w:t>
          </w:r>
          <w:hyperlink r:id="rId20" w:history="1">
            <w:r>
              <w:rPr>
                <w:rStyle w:val="Hyperlink"/>
              </w:rPr>
              <w:t>link</w:t>
            </w:r>
          </w:hyperlink>
          <w:r>
            <w:rPr>
              <w:rStyle w:val="Hyperlink"/>
            </w:rPr>
            <w:t xml:space="preserve">. </w:t>
          </w:r>
        </w:p>
        <w:p>
          <w:pPr>
            <w:pStyle w:val="BodyBullets"/>
            <w:spacing w:after="0"/>
            <w:rPr>
              <w:rStyle w:val="Hyperlink"/>
              <w:color w:val="auto"/>
              <w:u w:val="none"/>
            </w:rPr>
          </w:pPr>
          <w:r>
            <w:rPr>
              <w:rStyle w:val="Hyperlink"/>
              <w:color w:val="auto"/>
              <w:u w:val="none"/>
            </w:rPr>
            <w:t>The Technical Interconnection and Interoperability Requirements for Distributed Energy Resources (</w:t>
          </w:r>
          <w:r>
            <w:rPr>
              <w:rStyle w:val="Hyperlink"/>
              <w:rFonts w:cstheme="minorHAnsi"/>
              <w:color w:val="auto"/>
              <w:u w:val="none"/>
            </w:rPr>
            <w:t>≤</w:t>
          </w:r>
          <w:r>
            <w:rPr>
              <w:rStyle w:val="Hyperlink"/>
              <w:color w:val="auto"/>
              <w:u w:val="none"/>
            </w:rPr>
            <w:t xml:space="preserve"> 34.5kV and </w:t>
          </w:r>
          <w:r>
            <w:rPr>
              <w:rStyle w:val="Hyperlink"/>
              <w:rFonts w:cstheme="minorHAnsi"/>
              <w:color w:val="auto"/>
              <w:u w:val="none"/>
            </w:rPr>
            <w:t>≤</w:t>
          </w:r>
          <w:r>
            <w:rPr>
              <w:rStyle w:val="Hyperlink"/>
              <w:rFonts w:cstheme="minorHAnsi"/>
              <w:color w:val="auto"/>
              <w:u w:val="none"/>
            </w:rPr>
            <w:t xml:space="preserve"> 10 MVA), which includes details on Virtual Power Plant integration requirements, can be found here at </w:t>
          </w:r>
          <w:hyperlink r:id="rId21" w:history="1">
            <w:r>
              <w:rPr>
                <w:rStyle w:val="Hyperlink"/>
              </w:rPr>
              <w:t>lin</w:t>
            </w:r>
            <w:r>
              <w:rPr>
                <w:rStyle w:val="Hyperlink"/>
              </w:rPr>
              <w:t>k</w:t>
            </w:r>
          </w:hyperlink>
          <w:r>
            <w:t>.</w:t>
          </w:r>
        </w:p>
        <w:p>
          <w:pPr>
            <w:pStyle w:val="BodyBullets"/>
            <w:spacing w:after="0"/>
          </w:pPr>
          <w:r>
            <w:t xml:space="preserve">The portal to complete a Schedule 152 application can be found through the </w:t>
          </w:r>
          <w:proofErr w:type="spellStart"/>
          <w:r>
            <w:t>PowerClerk</w:t>
          </w:r>
          <w:proofErr w:type="spellEnd"/>
          <w:r>
            <w:t xml:space="preserve"> portal at </w:t>
          </w:r>
          <w:hyperlink r:id="rId22" w:history="1">
            <w:r>
              <w:rPr>
                <w:rStyle w:val="Hyperlink"/>
              </w:rPr>
              <w:t>li</w:t>
            </w:r>
            <w:r>
              <w:rPr>
                <w:rStyle w:val="Hyperlink"/>
              </w:rPr>
              <w:t>n</w:t>
            </w:r>
            <w:r>
              <w:rPr>
                <w:rStyle w:val="Hyperlink"/>
              </w:rPr>
              <w:t>k</w:t>
            </w:r>
          </w:hyperlink>
          <w:r>
            <w:t xml:space="preserve">.  </w:t>
          </w:r>
        </w:p>
        <w:p>
          <w:pPr>
            <w:pStyle w:val="BodyBullets"/>
            <w:numPr>
              <w:ilvl w:val="0"/>
              <w:numId w:val="0"/>
            </w:numPr>
            <w:spacing w:after="0"/>
            <w:ind w:left="720" w:hanging="360"/>
          </w:pPr>
        </w:p>
        <w:p>
          <w:pPr>
            <w:pStyle w:val="BodyBullets"/>
            <w:numPr>
              <w:ilvl w:val="0"/>
              <w:numId w:val="0"/>
            </w:numPr>
            <w:spacing w:after="0"/>
            <w:rPr>
              <w:rFonts w:eastAsia="Times New Roman" w:cs="Arial"/>
              <w:color w:val="000000"/>
            </w:rPr>
          </w:pPr>
        </w:p>
      </w:sdtContent>
    </w:sdt>
    <w:sectPr>
      <w:headerReference w:type="default" r:id="rId23"/>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276915"/>
      <w:docPartObj>
        <w:docPartGallery w:val="Page Numbers (Bottom of Page)"/>
        <w:docPartUnique/>
      </w:docPartObj>
    </w:sdtPr>
    <w:sdtContent>
      <w:p>
        <w:pPr>
          <w:pStyle w:val="Footer"/>
          <w:tabs>
            <w:tab w:val="clear" w:pos="4680"/>
          </w:tabs>
          <w:jc w:val="center"/>
          <w:rPr>
            <w:i/>
          </w:rPr>
        </w:pPr>
        <w:r>
          <w:rPr>
            <w:i/>
          </w:rPr>
          <w:t>- I-</w:t>
        </w:r>
        <w:r>
          <w:rPr>
            <w:i/>
          </w:rPr>
          <w:fldChar w:fldCharType="begin"/>
        </w:r>
        <w:r>
          <w:rPr>
            <w:i/>
          </w:rPr>
          <w:instrText xml:space="preserve"> PAGE   \* MERGEFORMAT </w:instrText>
        </w:r>
        <w:r>
          <w:rPr>
            <w:i/>
          </w:rPr>
          <w:fldChar w:fldCharType="separate"/>
        </w:r>
        <w:r>
          <w:rPr>
            <w:i/>
            <w:noProof/>
          </w:rPr>
          <w:t>2</w:t>
        </w:r>
        <w:r>
          <w:rPr>
            <w:i/>
          </w:rPr>
          <w:fldChar w:fldCharType="end"/>
        </w:r>
        <w:r>
          <w:rPr>
            <w:i/>
          </w:rPr>
          <w:t xml:space="preserve"> -</w:t>
        </w:r>
      </w:p>
    </w:sdtContent>
  </w:sdt>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EXHIBIT I. RESOURCES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pPr>
                      <w:spacing w:before="120"/>
                      <w:jc w:val="center"/>
                      <w:rPr>
                        <w:b/>
                        <w:sz w:val="24"/>
                      </w:rPr>
                    </w:pPr>
                    <w:r>
                      <w:rPr>
                        <w:b/>
                        <w:sz w:val="24"/>
                      </w:rPr>
                      <w:t>EXHIBIT I. RESOURCES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2024 Distributed Solar and Storage Resources RFP</w:t>
                          </w:r>
                        </w:p>
                        <w:p>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pPr>
                      <w:spacing w:before="180" w:after="80"/>
                      <w:jc w:val="center"/>
                      <w:rPr>
                        <w:b/>
                        <w:sz w:val="24"/>
                      </w:rPr>
                    </w:pPr>
                    <w:r>
                      <w:rPr>
                        <w:b/>
                        <w:sz w:val="24"/>
                      </w:rPr>
                      <w:t>2024 Distributed Solar and Storage Resources RFP</w:t>
                    </w: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B52"/>
    <w:multiLevelType w:val="hybridMultilevel"/>
    <w:tmpl w:val="7E54C048"/>
    <w:lvl w:ilvl="0" w:tplc="5BFC62CA">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9151C"/>
    <w:multiLevelType w:val="hybridMultilevel"/>
    <w:tmpl w:val="77D22DA8"/>
    <w:lvl w:ilvl="0" w:tplc="932EF61E">
      <w:start w:val="1"/>
      <w:numFmt w:val="decimal"/>
      <w:pStyle w:val="TableTitle"/>
      <w:lvlText w:val="Table %1."/>
      <w:lvlJc w:val="left"/>
      <w:pPr>
        <w:ind w:left="9720" w:hanging="360"/>
      </w:pPr>
      <w:rPr>
        <w:rFonts w:hint="default"/>
        <w:b w:val="0"/>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4B0051"/>
    <w:multiLevelType w:val="hybridMultilevel"/>
    <w:tmpl w:val="49828E14"/>
    <w:lvl w:ilvl="0" w:tplc="37CCF68C">
      <w:numFmt w:val="none"/>
      <w:lvlText w:val=""/>
      <w:lvlJc w:val="left"/>
      <w:pPr>
        <w:tabs>
          <w:tab w:val="num" w:pos="360"/>
        </w:tabs>
      </w:pPr>
    </w:lvl>
    <w:lvl w:ilvl="1" w:tplc="F7FAD044">
      <w:start w:val="1"/>
      <w:numFmt w:val="lowerLetter"/>
      <w:lvlText w:val="%2."/>
      <w:lvlJc w:val="left"/>
      <w:pPr>
        <w:ind w:left="1440" w:hanging="360"/>
      </w:pPr>
    </w:lvl>
    <w:lvl w:ilvl="2" w:tplc="51DA6EA2">
      <w:start w:val="1"/>
      <w:numFmt w:val="lowerRoman"/>
      <w:lvlText w:val="%3."/>
      <w:lvlJc w:val="right"/>
      <w:pPr>
        <w:ind w:left="2160" w:hanging="180"/>
      </w:pPr>
    </w:lvl>
    <w:lvl w:ilvl="3" w:tplc="B6EADD1E">
      <w:start w:val="1"/>
      <w:numFmt w:val="decimal"/>
      <w:lvlText w:val="%4."/>
      <w:lvlJc w:val="left"/>
      <w:pPr>
        <w:ind w:left="2880" w:hanging="360"/>
      </w:pPr>
    </w:lvl>
    <w:lvl w:ilvl="4" w:tplc="492CA24E">
      <w:start w:val="1"/>
      <w:numFmt w:val="lowerLetter"/>
      <w:lvlText w:val="%5."/>
      <w:lvlJc w:val="left"/>
      <w:pPr>
        <w:ind w:left="3600" w:hanging="360"/>
      </w:pPr>
    </w:lvl>
    <w:lvl w:ilvl="5" w:tplc="37A8B1A0">
      <w:start w:val="1"/>
      <w:numFmt w:val="lowerRoman"/>
      <w:lvlText w:val="%6."/>
      <w:lvlJc w:val="right"/>
      <w:pPr>
        <w:ind w:left="4320" w:hanging="180"/>
      </w:pPr>
    </w:lvl>
    <w:lvl w:ilvl="6" w:tplc="EA3ECB62">
      <w:start w:val="1"/>
      <w:numFmt w:val="decimal"/>
      <w:lvlText w:val="%7."/>
      <w:lvlJc w:val="left"/>
      <w:pPr>
        <w:ind w:left="5040" w:hanging="360"/>
      </w:pPr>
    </w:lvl>
    <w:lvl w:ilvl="7" w:tplc="1C904104">
      <w:start w:val="1"/>
      <w:numFmt w:val="lowerLetter"/>
      <w:lvlText w:val="%8."/>
      <w:lvlJc w:val="left"/>
      <w:pPr>
        <w:ind w:left="5760" w:hanging="360"/>
      </w:pPr>
    </w:lvl>
    <w:lvl w:ilvl="8" w:tplc="9030E9EE">
      <w:start w:val="1"/>
      <w:numFmt w:val="lowerRoman"/>
      <w:lvlText w:val="%9."/>
      <w:lvlJc w:val="right"/>
      <w:pPr>
        <w:ind w:left="6480" w:hanging="180"/>
      </w:pPr>
    </w:lvl>
  </w:abstractNum>
  <w:abstractNum w:abstractNumId="5" w15:restartNumberingAfterBreak="0">
    <w:nsid w:val="2F742982"/>
    <w:multiLevelType w:val="hybridMultilevel"/>
    <w:tmpl w:val="50FA0BCA"/>
    <w:lvl w:ilvl="0" w:tplc="C0F891B2">
      <w:start w:val="1"/>
      <w:numFmt w:val="bullet"/>
      <w:lvlText w:val=""/>
      <w:lvlJc w:val="left"/>
      <w:pPr>
        <w:ind w:left="720" w:hanging="360"/>
      </w:pPr>
      <w:rPr>
        <w:rFonts w:ascii="Symbol" w:hAnsi="Symbol" w:hint="default"/>
      </w:rPr>
    </w:lvl>
    <w:lvl w:ilvl="1" w:tplc="C0146014">
      <w:start w:val="1"/>
      <w:numFmt w:val="bullet"/>
      <w:lvlText w:val="o"/>
      <w:lvlJc w:val="left"/>
      <w:pPr>
        <w:ind w:left="1440" w:hanging="360"/>
      </w:pPr>
      <w:rPr>
        <w:rFonts w:ascii="Courier New" w:hAnsi="Courier New" w:hint="default"/>
      </w:rPr>
    </w:lvl>
    <w:lvl w:ilvl="2" w:tplc="5AF83C8C">
      <w:start w:val="1"/>
      <w:numFmt w:val="bullet"/>
      <w:lvlText w:val=""/>
      <w:lvlJc w:val="left"/>
      <w:pPr>
        <w:ind w:left="2160" w:hanging="360"/>
      </w:pPr>
      <w:rPr>
        <w:rFonts w:ascii="Wingdings" w:hAnsi="Wingdings" w:hint="default"/>
      </w:rPr>
    </w:lvl>
    <w:lvl w:ilvl="3" w:tplc="37DE8C28">
      <w:start w:val="1"/>
      <w:numFmt w:val="bullet"/>
      <w:lvlText w:val=""/>
      <w:lvlJc w:val="left"/>
      <w:pPr>
        <w:ind w:left="2880" w:hanging="360"/>
      </w:pPr>
      <w:rPr>
        <w:rFonts w:ascii="Symbol" w:hAnsi="Symbol" w:hint="default"/>
      </w:rPr>
    </w:lvl>
    <w:lvl w:ilvl="4" w:tplc="52281A32">
      <w:start w:val="1"/>
      <w:numFmt w:val="bullet"/>
      <w:lvlText w:val="o"/>
      <w:lvlJc w:val="left"/>
      <w:pPr>
        <w:ind w:left="3600" w:hanging="360"/>
      </w:pPr>
      <w:rPr>
        <w:rFonts w:ascii="Courier New" w:hAnsi="Courier New" w:hint="default"/>
      </w:rPr>
    </w:lvl>
    <w:lvl w:ilvl="5" w:tplc="5200220C">
      <w:start w:val="1"/>
      <w:numFmt w:val="bullet"/>
      <w:lvlText w:val=""/>
      <w:lvlJc w:val="left"/>
      <w:pPr>
        <w:ind w:left="4320" w:hanging="360"/>
      </w:pPr>
      <w:rPr>
        <w:rFonts w:ascii="Wingdings" w:hAnsi="Wingdings" w:hint="default"/>
      </w:rPr>
    </w:lvl>
    <w:lvl w:ilvl="6" w:tplc="A7701178">
      <w:start w:val="1"/>
      <w:numFmt w:val="bullet"/>
      <w:lvlText w:val=""/>
      <w:lvlJc w:val="left"/>
      <w:pPr>
        <w:ind w:left="5040" w:hanging="360"/>
      </w:pPr>
      <w:rPr>
        <w:rFonts w:ascii="Symbol" w:hAnsi="Symbol" w:hint="default"/>
      </w:rPr>
    </w:lvl>
    <w:lvl w:ilvl="7" w:tplc="A400166E">
      <w:start w:val="1"/>
      <w:numFmt w:val="bullet"/>
      <w:lvlText w:val="o"/>
      <w:lvlJc w:val="left"/>
      <w:pPr>
        <w:ind w:left="5760" w:hanging="360"/>
      </w:pPr>
      <w:rPr>
        <w:rFonts w:ascii="Courier New" w:hAnsi="Courier New" w:hint="default"/>
      </w:rPr>
    </w:lvl>
    <w:lvl w:ilvl="8" w:tplc="CA3E4FEA">
      <w:start w:val="1"/>
      <w:numFmt w:val="bullet"/>
      <w:lvlText w:val=""/>
      <w:lvlJc w:val="left"/>
      <w:pPr>
        <w:ind w:left="6480" w:hanging="360"/>
      </w:pPr>
      <w:rPr>
        <w:rFonts w:ascii="Wingdings" w:hAnsi="Wingdings" w:hint="default"/>
      </w:rPr>
    </w:lvl>
  </w:abstractNum>
  <w:abstractNum w:abstractNumId="6" w15:restartNumberingAfterBreak="0">
    <w:nsid w:val="350A0F3F"/>
    <w:multiLevelType w:val="hybridMultilevel"/>
    <w:tmpl w:val="4B86E7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4"/>
  </w:num>
  <w:num w:numId="6">
    <w:abstractNumId w:val="5"/>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03FB4A43-3BDF-4283-BDF8-E1C2024D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uiPriority w:val="99"/>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uiPriority w:val="99"/>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uiPriority w:val="99"/>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aliases w:val="Footnote Text1 Char,Footnote Text Char Ch,Footnote Text Char Char,Footnote Text Char1 Char,Footnote Text Char Char Char,Footnote Text Char1 Char Char Char,Footnote Text Char Char1 Char Char Char,TBG Style,fn,ft,FOOTNOTE"/>
    <w:basedOn w:val="Normal"/>
    <w:link w:val="FootnoteTextChar"/>
    <w:semiHidden/>
    <w:unhideWhenUsed/>
    <w:pPr>
      <w:spacing w:after="0" w:line="240" w:lineRule="auto"/>
    </w:pPr>
    <w:rPr>
      <w:sz w:val="20"/>
      <w:szCs w:val="20"/>
    </w:rPr>
  </w:style>
  <w:style w:type="character" w:customStyle="1" w:styleId="FootnoteTextChar">
    <w:name w:val="Footnote Text Char"/>
    <w:aliases w:val="Footnote Text1 Char Char,Footnote Text Char Ch Char,Footnote Text Char Char Char1,Footnote Text Char1 Char Char,Footnote Text Char Char Char Char,Footnote Text Char1 Char Char Char Char,Footnote Text Char Char1 Char Char Char Char"/>
    <w:basedOn w:val="DefaultParagraphFont"/>
    <w:link w:val="FootnoteText"/>
    <w:semiHidden/>
    <w:rPr>
      <w:sz w:val="20"/>
      <w:szCs w:val="20"/>
    </w:rPr>
  </w:style>
  <w:style w:type="character" w:styleId="FootnoteReference">
    <w:name w:val="footnote reference"/>
    <w:aliases w:val="o,fr,Style 3,o1,o2,o3,o4,o5,o6,o11,o21,o7"/>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2"/>
      </w:numPr>
      <w:spacing w:before="360" w:after="120" w:line="240" w:lineRule="auto"/>
      <w:ind w:left="360"/>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12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paragraph" w:customStyle="1" w:styleId="Footnotes">
    <w:name w:val="Footnotes"/>
    <w:basedOn w:val="BodyText"/>
    <w:link w:val="FootnotesChar"/>
    <w:qFormat/>
    <w:pPr>
      <w:spacing w:before="0" w:after="0"/>
    </w:pPr>
    <w:rPr>
      <w:i/>
      <w:sz w:val="18"/>
    </w:rPr>
  </w:style>
  <w:style w:type="table" w:customStyle="1" w:styleId="TableGrid2">
    <w:name w:val="Table Grid2"/>
    <w:basedOn w:val="TableNormal"/>
    <w:next w:val="TableGrid"/>
    <w:uiPriority w:val="59"/>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sChar">
    <w:name w:val="Footnotes Char"/>
    <w:basedOn w:val="BodyTextChar"/>
    <w:link w:val="Footnotes"/>
    <w:rPr>
      <w:b w:val="0"/>
      <w:i/>
      <w:color w:val="808080" w:themeColor="background1" w:themeShade="80"/>
      <w:sz w:val="18"/>
      <w:szCs w:val="24"/>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56310020">
      <w:bodyDiv w:val="1"/>
      <w:marLeft w:val="0"/>
      <w:marRight w:val="0"/>
      <w:marTop w:val="0"/>
      <w:marBottom w:val="0"/>
      <w:divBdr>
        <w:top w:val="none" w:sz="0" w:space="0" w:color="auto"/>
        <w:left w:val="none" w:sz="0" w:space="0" w:color="auto"/>
        <w:bottom w:val="none" w:sz="0" w:space="0" w:color="auto"/>
        <w:right w:val="none" w:sz="0" w:space="0" w:color="auto"/>
      </w:divBdr>
    </w:div>
    <w:div w:id="324358405">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8536343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961764712">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44713975">
      <w:bodyDiv w:val="1"/>
      <w:marLeft w:val="0"/>
      <w:marRight w:val="0"/>
      <w:marTop w:val="0"/>
      <w:marBottom w:val="0"/>
      <w:divBdr>
        <w:top w:val="none" w:sz="0" w:space="0" w:color="auto"/>
        <w:left w:val="none" w:sz="0" w:space="0" w:color="auto"/>
        <w:bottom w:val="none" w:sz="0" w:space="0" w:color="auto"/>
        <w:right w:val="none" w:sz="0" w:space="0" w:color="auto"/>
      </w:divBdr>
    </w:div>
    <w:div w:id="1962758414">
      <w:bodyDiv w:val="1"/>
      <w:marLeft w:val="0"/>
      <w:marRight w:val="0"/>
      <w:marTop w:val="0"/>
      <w:marBottom w:val="0"/>
      <w:divBdr>
        <w:top w:val="none" w:sz="0" w:space="0" w:color="auto"/>
        <w:left w:val="none" w:sz="0" w:space="0" w:color="auto"/>
        <w:bottom w:val="none" w:sz="0" w:space="0" w:color="auto"/>
        <w:right w:val="none" w:sz="0" w:space="0" w:color="auto"/>
      </w:divBdr>
    </w:div>
    <w:div w:id="20996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e.com/en/pages/energy-supply/acquiring-energy/2023-Distributed-Solar-and-Storage-RF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asis.oati.com/woa/docs/PSEI/PSEIdocs/Technical_Interconnection_and_Interoperability_Requirements__(TIIR)_for_Non_Jurisdictional_Distributed_Energy_Resources_160.70.pdf" TargetMode="External"/><Relationship Id="rId7" Type="http://schemas.openxmlformats.org/officeDocument/2006/relationships/settings" Target="settings.xml"/><Relationship Id="rId12" Type="http://schemas.openxmlformats.org/officeDocument/2006/relationships/hyperlink" Target="https://www.pse.com/en/IRP/Past-IRPs/2023-IRP" TargetMode="External"/><Relationship Id="rId17" Type="http://schemas.openxmlformats.org/officeDocument/2006/relationships/hyperlink" Target="https://pugetsoundenergy.maps.arcgis.com/apps/webappviewer/index.html?id=980fc190ffd648489a492f8363a1d2c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h.wa.gov/DataandStatisticalReports/WashingtonTrackingNetworkWTN/ClimateProjections/CleanEnergyTransformationAct" TargetMode="External"/><Relationship Id="rId20" Type="http://schemas.openxmlformats.org/officeDocument/2006/relationships/hyperlink" Target="http://www.oasis.oati.com/psei/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se.com/-/media/PDFs/CEIP/2023/001_BU23_Chapters_Final.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eanenergyplan.pse.com/ceip-documents" TargetMode="External"/><Relationship Id="rId22" Type="http://schemas.openxmlformats.org/officeDocument/2006/relationships/hyperlink" Target="https://www.pse.com/green-options/Renewable-Energy-Programs/distributed-renewables?utm_source=direct&amp;utm_medium=shorturl&amp;utm_campaign=renew-dr&amp;sc_camp=ECA3C6DA7BF344EDD4CFD67D2D420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A9A7-000B-47DD-8128-ADA855414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D8E5F-45AE-4242-A753-608232055CBB}">
  <ds:schemaRefs>
    <ds:schemaRef ds:uri="http://schemas.microsoft.com/sharepoint/v3/contenttype/forms"/>
  </ds:schemaRefs>
</ds:datastoreItem>
</file>

<file path=customXml/itemProps3.xml><?xml version="1.0" encoding="utf-8"?>
<ds:datastoreItem xmlns:ds="http://schemas.openxmlformats.org/officeDocument/2006/customXml" ds:itemID="{6D9E2FFC-174E-47F7-913A-59D3B28B03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dbe189f2-33cc-49da-83a0-e3adac0b502e"/>
    <ds:schemaRef ds:uri="1fbcb9d6-207f-4e16-a5d1-f89975f2d4d3"/>
    <ds:schemaRef ds:uri="http://www.w3.org/XML/1998/namespace"/>
  </ds:schemaRefs>
</ds:datastoreItem>
</file>

<file path=customXml/itemProps4.xml><?xml version="1.0" encoding="utf-8"?>
<ds:datastoreItem xmlns:ds="http://schemas.openxmlformats.org/officeDocument/2006/customXml" ds:itemID="{5820C07A-3E68-4104-BEE6-A2BD0AEF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Schedule of Estimated Avoided Cost</vt:lpstr>
    </vt:vector>
  </TitlesOfParts>
  <Company>[Date] Report to the Board of Directors: Title</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Estimated Avoided Cost</dc:title>
  <dc:subject>Exhibit Title</dc:subject>
  <dc:creator>Puget Sound Energy</dc:creator>
  <cp:lastModifiedBy>Spector, Kimo</cp:lastModifiedBy>
  <cp:revision>7</cp:revision>
  <cp:lastPrinted>2021-06-08T19:48:00Z</cp:lastPrinted>
  <dcterms:created xsi:type="dcterms:W3CDTF">2024-05-16T01:04:00Z</dcterms:created>
  <dcterms:modified xsi:type="dcterms:W3CDTF">2024-05-16T16:18:00Z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