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22ABD" w14:textId="77777777" w:rsidR="00330ADD" w:rsidRPr="00462A25" w:rsidRDefault="005E26BB" w:rsidP="004F7EFA">
      <w:pPr>
        <w:spacing w:after="0"/>
        <w:jc w:val="center"/>
        <w:rPr>
          <w:b/>
          <w:u w:val="single"/>
        </w:rPr>
      </w:pPr>
      <w:r w:rsidRPr="00462A25">
        <w:rPr>
          <w:b/>
          <w:u w:val="single"/>
        </w:rPr>
        <w:t>TERM SHEET</w:t>
      </w:r>
      <w:r w:rsidR="004F7EFA" w:rsidRPr="00462A25">
        <w:rPr>
          <w:b/>
          <w:u w:val="single"/>
        </w:rPr>
        <w:t xml:space="preserve">: </w:t>
      </w:r>
      <w:r w:rsidR="00330ADD" w:rsidRPr="00462A25">
        <w:rPr>
          <w:b/>
          <w:u w:val="single"/>
        </w:rPr>
        <w:t xml:space="preserve">BESS TOLLING AGREEMENT </w:t>
      </w:r>
    </w:p>
    <w:p w14:paraId="7CC39DED" w14:textId="496F975F" w:rsidR="00330ADD" w:rsidRDefault="00330ADD" w:rsidP="60324573">
      <w:pPr>
        <w:spacing w:after="0"/>
        <w:jc w:val="center"/>
      </w:pPr>
      <w:r>
        <w:t>(ALSO INDICATIVE FOR EXPECTED TERMS OF OTHER TYPES OF CAPACITY)</w:t>
      </w:r>
    </w:p>
    <w:p w14:paraId="231FC16B" w14:textId="181066F8" w:rsidR="55AAC17D" w:rsidRDefault="55AAC17D" w:rsidP="60324573">
      <w:pPr>
        <w:spacing w:line="257" w:lineRule="auto"/>
        <w:jc w:val="both"/>
      </w:pPr>
      <w:r w:rsidRPr="60324573">
        <w:rPr>
          <w:rFonts w:ascii="Calibri" w:eastAsia="Calibri" w:hAnsi="Calibri" w:cs="Calibri"/>
          <w:i/>
          <w:iCs/>
          <w:color w:val="FF0000"/>
        </w:rPr>
        <w:t xml:space="preserve">This preliminary non-binding term sheet is not intended to set forth any binding obligations on any party. The proposed transaction is conditioned upon mutually agreeable negotiation and execution of one or more definitive agreements, the approval of such agreements by the respective board of directors of each party, and the satisfaction of closing conditions contained in such definitive agreements. This preliminary non-binding term sheet does not by itself create or imply any legal rights or obligations between the parties or any other person, including without limitation any obligation to engage in negotiations or discussions or any exclusivity period for such negotiations or discussions. This preliminary non-binding term sheet may not cover all essential terms and conditions of the proposed transaction. This preliminary non-binding term sheet does not constitute a binding contract and the parties do not intend to be legally bound unless and until definite agreements have been executed. Unless and until definitive agreements have been executed, either party is free to terminate further negotiations at any time.  </w:t>
      </w:r>
      <w:r w:rsidRPr="60324573">
        <w:rPr>
          <w:rFonts w:ascii="Calibri" w:eastAsia="Calibri" w:hAnsi="Calibri" w:cs="Calibri"/>
        </w:rPr>
        <w:t xml:space="preserve"> </w:t>
      </w:r>
    </w:p>
    <w:tbl>
      <w:tblPr>
        <w:tblStyle w:val="TableGrid"/>
        <w:tblW w:w="9715" w:type="dxa"/>
        <w:tblLook w:val="04A0" w:firstRow="1" w:lastRow="0" w:firstColumn="1" w:lastColumn="0" w:noHBand="0" w:noVBand="1"/>
      </w:tblPr>
      <w:tblGrid>
        <w:gridCol w:w="2993"/>
        <w:gridCol w:w="6722"/>
      </w:tblGrid>
      <w:tr w:rsidR="00462A25" w:rsidRPr="00462A25" w14:paraId="62B68017" w14:textId="61E43081" w:rsidTr="2BBB9A93">
        <w:trPr>
          <w:trHeight w:val="134"/>
        </w:trPr>
        <w:tc>
          <w:tcPr>
            <w:tcW w:w="0" w:type="auto"/>
            <w:shd w:val="clear" w:color="auto" w:fill="auto"/>
            <w:vAlign w:val="center"/>
          </w:tcPr>
          <w:p w14:paraId="7A5E2952" w14:textId="3771A93D" w:rsidR="008E479F" w:rsidRPr="00462A25" w:rsidRDefault="00DC14B9" w:rsidP="00155793">
            <w:r w:rsidRPr="00462A25">
              <w:t>Customer</w:t>
            </w:r>
          </w:p>
        </w:tc>
        <w:tc>
          <w:tcPr>
            <w:tcW w:w="6820" w:type="dxa"/>
            <w:shd w:val="clear" w:color="auto" w:fill="auto"/>
            <w:vAlign w:val="center"/>
          </w:tcPr>
          <w:p w14:paraId="09642A46" w14:textId="77777777" w:rsidR="008E479F" w:rsidRPr="00462A25" w:rsidRDefault="008E479F" w:rsidP="00155793">
            <w:r w:rsidRPr="00462A25">
              <w:t>Puget Sound Energy Inc.</w:t>
            </w:r>
          </w:p>
        </w:tc>
      </w:tr>
      <w:tr w:rsidR="00462A25" w:rsidRPr="00462A25" w14:paraId="3F17870C" w14:textId="6276B7D8" w:rsidTr="2BBB9A93">
        <w:tc>
          <w:tcPr>
            <w:tcW w:w="0" w:type="auto"/>
            <w:shd w:val="clear" w:color="auto" w:fill="auto"/>
            <w:vAlign w:val="center"/>
          </w:tcPr>
          <w:p w14:paraId="1D6AD9CA" w14:textId="4A8EE26D" w:rsidR="008E479F" w:rsidRPr="00462A25" w:rsidRDefault="004A4E17" w:rsidP="00155793">
            <w:r w:rsidRPr="00462A25">
              <w:t>Service Provider</w:t>
            </w:r>
          </w:p>
        </w:tc>
        <w:tc>
          <w:tcPr>
            <w:tcW w:w="6820" w:type="dxa"/>
            <w:shd w:val="clear" w:color="auto" w:fill="auto"/>
            <w:vAlign w:val="center"/>
          </w:tcPr>
          <w:p w14:paraId="2731DDD2" w14:textId="152BB38E" w:rsidR="008E479F" w:rsidRPr="00462A25" w:rsidRDefault="008E479F" w:rsidP="008E479F">
            <w:r w:rsidRPr="00462A25">
              <w:rPr>
                <w:highlight w:val="yellow"/>
              </w:rPr>
              <w:t>[………………..]</w:t>
            </w:r>
          </w:p>
        </w:tc>
      </w:tr>
      <w:tr w:rsidR="00462A25" w:rsidRPr="00462A25" w14:paraId="3E42C4C0" w14:textId="2E630CA8" w:rsidTr="2BBB9A93">
        <w:tc>
          <w:tcPr>
            <w:tcW w:w="0" w:type="auto"/>
            <w:shd w:val="clear" w:color="auto" w:fill="auto"/>
            <w:vAlign w:val="center"/>
          </w:tcPr>
          <w:p w14:paraId="3DCCDC16" w14:textId="77777777" w:rsidR="008E479F" w:rsidRPr="00462A25" w:rsidRDefault="008E479F" w:rsidP="00155793">
            <w:r w:rsidRPr="00462A25">
              <w:t>Project Name</w:t>
            </w:r>
          </w:p>
        </w:tc>
        <w:tc>
          <w:tcPr>
            <w:tcW w:w="6820" w:type="dxa"/>
            <w:shd w:val="clear" w:color="auto" w:fill="auto"/>
            <w:vAlign w:val="center"/>
          </w:tcPr>
          <w:p w14:paraId="772414E6" w14:textId="0ED9FCD9" w:rsidR="008E479F" w:rsidRPr="00462A25" w:rsidRDefault="008E479F" w:rsidP="00155793">
            <w:r w:rsidRPr="00462A25">
              <w:rPr>
                <w:highlight w:val="yellow"/>
              </w:rPr>
              <w:t>[………………..]</w:t>
            </w:r>
          </w:p>
        </w:tc>
      </w:tr>
      <w:tr w:rsidR="00462A25" w:rsidRPr="00462A25" w14:paraId="764BEA8F" w14:textId="1AFBE846" w:rsidTr="2BBB9A93">
        <w:tc>
          <w:tcPr>
            <w:tcW w:w="0" w:type="auto"/>
            <w:shd w:val="clear" w:color="auto" w:fill="auto"/>
            <w:vAlign w:val="center"/>
          </w:tcPr>
          <w:p w14:paraId="0D9AB4F3" w14:textId="77777777" w:rsidR="008E479F" w:rsidRPr="00462A25" w:rsidRDefault="008E479F" w:rsidP="00155793">
            <w:r w:rsidRPr="00462A25">
              <w:t>Project Location</w:t>
            </w:r>
          </w:p>
        </w:tc>
        <w:tc>
          <w:tcPr>
            <w:tcW w:w="6820" w:type="dxa"/>
            <w:shd w:val="clear" w:color="auto" w:fill="auto"/>
            <w:vAlign w:val="center"/>
          </w:tcPr>
          <w:p w14:paraId="031C789E" w14:textId="4EB808F9" w:rsidR="008E479F" w:rsidRPr="00462A25" w:rsidRDefault="008E479F" w:rsidP="007C60D9">
            <w:r w:rsidRPr="00462A25">
              <w:rPr>
                <w:highlight w:val="yellow"/>
              </w:rPr>
              <w:t>[………………..]</w:t>
            </w:r>
          </w:p>
        </w:tc>
      </w:tr>
      <w:tr w:rsidR="00462A25" w:rsidRPr="00462A25" w14:paraId="24EE1F80" w14:textId="293CC662" w:rsidTr="2BBB9A93">
        <w:tc>
          <w:tcPr>
            <w:tcW w:w="0" w:type="auto"/>
            <w:shd w:val="clear" w:color="auto" w:fill="auto"/>
            <w:vAlign w:val="center"/>
          </w:tcPr>
          <w:p w14:paraId="2E3AB98C" w14:textId="48FD7F66" w:rsidR="008E479F" w:rsidRPr="00462A25" w:rsidRDefault="00330ADD" w:rsidP="008E479F">
            <w:r w:rsidRPr="00462A25">
              <w:t>Energy Storage Capacity</w:t>
            </w:r>
          </w:p>
        </w:tc>
        <w:tc>
          <w:tcPr>
            <w:tcW w:w="6820" w:type="dxa"/>
            <w:shd w:val="clear" w:color="auto" w:fill="auto"/>
            <w:vAlign w:val="center"/>
          </w:tcPr>
          <w:p w14:paraId="1DECEA88" w14:textId="71F866CE" w:rsidR="008E479F" w:rsidRPr="00462A25" w:rsidRDefault="008E479F" w:rsidP="00330ADD">
            <w:r w:rsidRPr="00462A25">
              <w:rPr>
                <w:highlight w:val="yellow"/>
              </w:rPr>
              <w:t>[………]</w:t>
            </w:r>
            <w:r w:rsidR="00330ADD" w:rsidRPr="00462A25">
              <w:t xml:space="preserve"> MWh</w:t>
            </w:r>
          </w:p>
        </w:tc>
      </w:tr>
      <w:tr w:rsidR="00462A25" w:rsidRPr="00462A25" w14:paraId="2172758A" w14:textId="77777777" w:rsidTr="2BBB9A93">
        <w:tc>
          <w:tcPr>
            <w:tcW w:w="0" w:type="auto"/>
            <w:shd w:val="clear" w:color="auto" w:fill="auto"/>
            <w:vAlign w:val="center"/>
          </w:tcPr>
          <w:p w14:paraId="0FAB68AC" w14:textId="5C7E25CB" w:rsidR="008E479F" w:rsidRPr="00462A25" w:rsidRDefault="00330ADD" w:rsidP="00A159B9">
            <w:r w:rsidRPr="00462A25">
              <w:t>Power Delivery</w:t>
            </w:r>
          </w:p>
        </w:tc>
        <w:tc>
          <w:tcPr>
            <w:tcW w:w="6820" w:type="dxa"/>
            <w:shd w:val="clear" w:color="auto" w:fill="auto"/>
            <w:vAlign w:val="center"/>
          </w:tcPr>
          <w:p w14:paraId="3DDB4F00" w14:textId="4764B7D9" w:rsidR="008E479F" w:rsidRPr="00462A25" w:rsidRDefault="008E479F" w:rsidP="0006774E">
            <w:r w:rsidRPr="00462A25">
              <w:rPr>
                <w:highlight w:val="yellow"/>
              </w:rPr>
              <w:t>[………]</w:t>
            </w:r>
            <w:r w:rsidRPr="00462A25">
              <w:t xml:space="preserve"> MW</w:t>
            </w:r>
            <w:r w:rsidRPr="00462A25">
              <w:rPr>
                <w:vertAlign w:val="subscript"/>
              </w:rPr>
              <w:t>AC</w:t>
            </w:r>
            <w:r w:rsidRPr="00462A25">
              <w:t xml:space="preserve"> (</w:t>
            </w:r>
            <w:r w:rsidR="0006774E" w:rsidRPr="00462A25">
              <w:t>Point of I</w:t>
            </w:r>
            <w:r w:rsidRPr="00462A25">
              <w:t>nterconnection limit)</w:t>
            </w:r>
          </w:p>
        </w:tc>
      </w:tr>
      <w:tr w:rsidR="00462A25" w:rsidRPr="00462A25" w14:paraId="096AAAA5" w14:textId="7E46B62D" w:rsidTr="2BBB9A93">
        <w:tc>
          <w:tcPr>
            <w:tcW w:w="0" w:type="auto"/>
            <w:shd w:val="clear" w:color="auto" w:fill="auto"/>
            <w:vAlign w:val="center"/>
          </w:tcPr>
          <w:p w14:paraId="21E8EFBF" w14:textId="1CF1D078" w:rsidR="008E479F" w:rsidRPr="00462A25" w:rsidRDefault="00DC14B9" w:rsidP="00A159B9">
            <w:r w:rsidRPr="00462A25">
              <w:t>Storage Service</w:t>
            </w:r>
          </w:p>
        </w:tc>
        <w:tc>
          <w:tcPr>
            <w:tcW w:w="6820" w:type="dxa"/>
            <w:shd w:val="clear" w:color="auto" w:fill="auto"/>
            <w:vAlign w:val="center"/>
          </w:tcPr>
          <w:p w14:paraId="36B1939E" w14:textId="77777777" w:rsidR="008E479F" w:rsidRPr="00462A25" w:rsidRDefault="008E479F" w:rsidP="008E479F">
            <w:r w:rsidRPr="00462A25">
              <w:t>All Delivered Energy and Attributes as generated as a bundled product.</w:t>
            </w:r>
          </w:p>
          <w:p w14:paraId="17AF55FF" w14:textId="77777777" w:rsidR="00C56192" w:rsidRPr="00462A25" w:rsidRDefault="00C56192" w:rsidP="008E479F"/>
          <w:p w14:paraId="3C82CB6A" w14:textId="77777777" w:rsidR="00C56192" w:rsidRPr="00462A25" w:rsidRDefault="00C56192" w:rsidP="00C56192">
            <w:pPr>
              <w:rPr>
                <w:rFonts w:cstheme="minorHAnsi"/>
              </w:rPr>
            </w:pPr>
            <w:r w:rsidRPr="00462A25">
              <w:rPr>
                <w:rFonts w:cstheme="minorHAnsi"/>
              </w:rPr>
              <w:t>Service Provider provides capacity, energy shifting and ancillary services including frequency and voltage regulation. Service provider will register and maintain qualification for all attributes existing at the Effective Date, up to $50k per year.</w:t>
            </w:r>
          </w:p>
          <w:p w14:paraId="00C268B2" w14:textId="77777777" w:rsidR="00C56192" w:rsidRPr="00462A25" w:rsidRDefault="00C56192" w:rsidP="00C56192">
            <w:pPr>
              <w:rPr>
                <w:rFonts w:cstheme="minorHAnsi"/>
              </w:rPr>
            </w:pPr>
          </w:p>
          <w:p w14:paraId="3D371735" w14:textId="2A2F201A" w:rsidR="00C56192" w:rsidRPr="00462A25" w:rsidRDefault="00C56192" w:rsidP="00C56192">
            <w:pPr>
              <w:rPr>
                <w:rFonts w:cstheme="minorHAnsi"/>
              </w:rPr>
            </w:pPr>
            <w:r w:rsidRPr="00462A25">
              <w:rPr>
                <w:rFonts w:cstheme="minorHAnsi"/>
              </w:rPr>
              <w:t>365 cycles per year, max 2 per day, partial cycles allowed</w:t>
            </w:r>
          </w:p>
          <w:p w14:paraId="3D9F9212" w14:textId="263FD7F7" w:rsidR="00C56192" w:rsidRPr="00462A25" w:rsidRDefault="00C56192" w:rsidP="008E479F">
            <w:pPr>
              <w:rPr>
                <w:rFonts w:cstheme="minorHAnsi"/>
              </w:rPr>
            </w:pPr>
            <w:r w:rsidRPr="00462A25">
              <w:rPr>
                <w:rFonts w:cstheme="minorHAnsi"/>
              </w:rPr>
              <w:t xml:space="preserve">0 – 100% SOC, </w:t>
            </w:r>
            <w:r w:rsidR="00720271">
              <w:rPr>
                <w:rFonts w:cstheme="minorHAnsi"/>
              </w:rPr>
              <w:t>30-70</w:t>
            </w:r>
            <w:r w:rsidRPr="00462A25">
              <w:rPr>
                <w:rFonts w:cstheme="minorHAnsi"/>
              </w:rPr>
              <w:t>% Annual Average SOC</w:t>
            </w:r>
          </w:p>
          <w:p w14:paraId="7860C807" w14:textId="77777777" w:rsidR="00C56192" w:rsidRPr="00462A25" w:rsidRDefault="00C56192" w:rsidP="008E479F">
            <w:pPr>
              <w:rPr>
                <w:rFonts w:cstheme="minorHAnsi"/>
              </w:rPr>
            </w:pPr>
            <w:r w:rsidRPr="00462A25">
              <w:rPr>
                <w:rFonts w:cstheme="minorHAnsi"/>
              </w:rPr>
              <w:t>Up to 100 banked cycles for use following Contract Year</w:t>
            </w:r>
          </w:p>
          <w:p w14:paraId="00424556" w14:textId="186F140C" w:rsidR="00C56192" w:rsidRPr="00462A25" w:rsidRDefault="00C56192" w:rsidP="008E479F">
            <w:pPr>
              <w:rPr>
                <w:rFonts w:cstheme="minorHAnsi"/>
              </w:rPr>
            </w:pPr>
          </w:p>
        </w:tc>
      </w:tr>
      <w:tr w:rsidR="00462A25" w:rsidRPr="00462A25" w14:paraId="76689D33" w14:textId="00C43D3C" w:rsidTr="2BBB9A93">
        <w:tc>
          <w:tcPr>
            <w:tcW w:w="0" w:type="auto"/>
            <w:tcBorders>
              <w:bottom w:val="single" w:sz="4" w:space="0" w:color="auto"/>
            </w:tcBorders>
            <w:shd w:val="clear" w:color="auto" w:fill="auto"/>
            <w:vAlign w:val="center"/>
          </w:tcPr>
          <w:p w14:paraId="7F674474" w14:textId="1B888E59" w:rsidR="008E479F" w:rsidRPr="00462A25" w:rsidRDefault="00502349" w:rsidP="002F2049">
            <w:r w:rsidRPr="00462A25">
              <w:lastRenderedPageBreak/>
              <w:t>Contract Price</w:t>
            </w:r>
          </w:p>
        </w:tc>
        <w:tc>
          <w:tcPr>
            <w:tcW w:w="6820" w:type="dxa"/>
            <w:tcBorders>
              <w:bottom w:val="single" w:sz="4" w:space="0" w:color="auto"/>
            </w:tcBorders>
            <w:shd w:val="clear" w:color="auto" w:fill="auto"/>
          </w:tcPr>
          <w:p w14:paraId="37BA0543" w14:textId="720CE114" w:rsidR="008E479F" w:rsidRPr="00462A25" w:rsidRDefault="008E479F" w:rsidP="00330ADD">
            <w:pPr>
              <w:rPr>
                <w:rFonts w:cstheme="minorHAnsi"/>
              </w:rPr>
            </w:pPr>
            <w:r w:rsidRPr="00462A25">
              <w:rPr>
                <w:rFonts w:cstheme="minorHAnsi"/>
              </w:rPr>
              <w:t>[</w:t>
            </w:r>
            <w:r w:rsidR="00FB1B2A" w:rsidRPr="00462A25">
              <w:rPr>
                <w:rFonts w:cstheme="minorHAnsi"/>
                <w:highlight w:val="yellow"/>
              </w:rPr>
              <w:t>……..]</w:t>
            </w:r>
            <w:r w:rsidRPr="00462A25">
              <w:rPr>
                <w:rFonts w:cstheme="minorHAnsi"/>
              </w:rPr>
              <w:t>/</w:t>
            </w:r>
            <w:r w:rsidR="00330ADD" w:rsidRPr="00462A25">
              <w:rPr>
                <w:rFonts w:cstheme="minorHAnsi"/>
              </w:rPr>
              <w:t>kW-month</w:t>
            </w:r>
          </w:p>
        </w:tc>
      </w:tr>
      <w:tr w:rsidR="00462A25" w:rsidRPr="00462A25" w14:paraId="0CF558F5" w14:textId="2A21ACAC" w:rsidTr="2BBB9A93">
        <w:tc>
          <w:tcPr>
            <w:tcW w:w="0" w:type="auto"/>
            <w:shd w:val="clear" w:color="auto" w:fill="auto"/>
            <w:vAlign w:val="center"/>
          </w:tcPr>
          <w:p w14:paraId="571B6721" w14:textId="77777777" w:rsidR="008E479F" w:rsidRPr="00462A25" w:rsidRDefault="008E479F" w:rsidP="00D6531E">
            <w:r w:rsidRPr="00462A25">
              <w:t>Point of Delivery</w:t>
            </w:r>
          </w:p>
        </w:tc>
        <w:tc>
          <w:tcPr>
            <w:tcW w:w="6820" w:type="dxa"/>
            <w:shd w:val="clear" w:color="auto" w:fill="auto"/>
            <w:vAlign w:val="center"/>
          </w:tcPr>
          <w:p w14:paraId="5150345B" w14:textId="6518BA9B" w:rsidR="008E479F" w:rsidRPr="00462A25" w:rsidRDefault="00FB1B2A" w:rsidP="00FB1B2A">
            <w:r w:rsidRPr="00462A25">
              <w:rPr>
                <w:highlight w:val="yellow"/>
              </w:rPr>
              <w:t>[………………..]</w:t>
            </w:r>
          </w:p>
        </w:tc>
      </w:tr>
      <w:tr w:rsidR="00462A25" w:rsidRPr="00462A25" w14:paraId="4FCBC75B" w14:textId="745DBD25" w:rsidTr="2BBB9A93">
        <w:tc>
          <w:tcPr>
            <w:tcW w:w="0" w:type="auto"/>
            <w:shd w:val="clear" w:color="auto" w:fill="auto"/>
            <w:vAlign w:val="center"/>
          </w:tcPr>
          <w:p w14:paraId="4B79970D" w14:textId="0EF907DF" w:rsidR="008E479F" w:rsidRPr="00462A25" w:rsidRDefault="00DC14B9" w:rsidP="00155793">
            <w:r w:rsidRPr="00462A25">
              <w:t>Service</w:t>
            </w:r>
            <w:r w:rsidR="008E479F" w:rsidRPr="00462A25">
              <w:t xml:space="preserve"> Term</w:t>
            </w:r>
          </w:p>
        </w:tc>
        <w:tc>
          <w:tcPr>
            <w:tcW w:w="6820" w:type="dxa"/>
            <w:shd w:val="clear" w:color="auto" w:fill="auto"/>
            <w:vAlign w:val="center"/>
          </w:tcPr>
          <w:p w14:paraId="12A49A9A" w14:textId="2C80B2D3" w:rsidR="008E479F" w:rsidRPr="00462A25" w:rsidRDefault="00FB1B2A" w:rsidP="004B2DD6">
            <w:r w:rsidRPr="00462A25">
              <w:rPr>
                <w:rFonts w:cstheme="minorHAnsi"/>
              </w:rPr>
              <w:t>[</w:t>
            </w:r>
            <w:r w:rsidRPr="00462A25">
              <w:rPr>
                <w:rFonts w:cstheme="minorHAnsi"/>
                <w:highlight w:val="yellow"/>
              </w:rPr>
              <w:t>……..]</w:t>
            </w:r>
            <w:r w:rsidRPr="00462A25">
              <w:rPr>
                <w:rFonts w:cstheme="minorHAnsi"/>
              </w:rPr>
              <w:t xml:space="preserve"> </w:t>
            </w:r>
            <w:r w:rsidR="008E479F" w:rsidRPr="00462A25">
              <w:t xml:space="preserve">years </w:t>
            </w:r>
          </w:p>
        </w:tc>
      </w:tr>
      <w:tr w:rsidR="00462A25" w:rsidRPr="00462A25" w14:paraId="66DC4A54" w14:textId="446A6959" w:rsidTr="2BBB9A93">
        <w:tc>
          <w:tcPr>
            <w:tcW w:w="0" w:type="auto"/>
            <w:shd w:val="clear" w:color="auto" w:fill="auto"/>
            <w:vAlign w:val="center"/>
          </w:tcPr>
          <w:p w14:paraId="577A806C" w14:textId="0C52314F" w:rsidR="008E479F" w:rsidRPr="00462A25" w:rsidRDefault="00FB1B2A" w:rsidP="00330ADD">
            <w:r w:rsidRPr="00462A25">
              <w:t xml:space="preserve">Guaranteed Commercial Operation Date (GCOD) </w:t>
            </w:r>
          </w:p>
        </w:tc>
        <w:tc>
          <w:tcPr>
            <w:tcW w:w="6820" w:type="dxa"/>
            <w:shd w:val="clear" w:color="auto" w:fill="auto"/>
            <w:vAlign w:val="center"/>
          </w:tcPr>
          <w:p w14:paraId="119D9EA8" w14:textId="34847620" w:rsidR="008E479F" w:rsidRPr="00462A25" w:rsidRDefault="00FB1B2A" w:rsidP="00FB12EB">
            <w:r w:rsidRPr="00462A25">
              <w:rPr>
                <w:highlight w:val="yellow"/>
              </w:rPr>
              <w:t>[………………..]</w:t>
            </w:r>
            <w:r w:rsidR="00330ADD" w:rsidRPr="00462A25">
              <w:t xml:space="preserve"> (also </w:t>
            </w:r>
            <w:r w:rsidR="00DC14B9" w:rsidRPr="00462A25">
              <w:t xml:space="preserve">the expected </w:t>
            </w:r>
            <w:r w:rsidR="00330ADD" w:rsidRPr="00462A25">
              <w:t>Contract Term Start Date)</w:t>
            </w:r>
          </w:p>
        </w:tc>
      </w:tr>
      <w:tr w:rsidR="00462A25" w:rsidRPr="00462A25" w14:paraId="418944FE" w14:textId="77777777" w:rsidTr="2BBB9A93">
        <w:tc>
          <w:tcPr>
            <w:tcW w:w="0" w:type="auto"/>
            <w:shd w:val="clear" w:color="auto" w:fill="auto"/>
            <w:vAlign w:val="center"/>
          </w:tcPr>
          <w:p w14:paraId="2C5D1FD2" w14:textId="6D5F06DC" w:rsidR="00C03393" w:rsidRPr="00462A25" w:rsidRDefault="00C03393" w:rsidP="00155793">
            <w:r w:rsidRPr="00462A25">
              <w:t>Generation Attributes</w:t>
            </w:r>
          </w:p>
        </w:tc>
        <w:tc>
          <w:tcPr>
            <w:tcW w:w="6820" w:type="dxa"/>
            <w:shd w:val="clear" w:color="auto" w:fill="auto"/>
            <w:vAlign w:val="center"/>
          </w:tcPr>
          <w:p w14:paraId="027FCC1A" w14:textId="6EDABDEF" w:rsidR="00C03393" w:rsidRPr="00462A25" w:rsidRDefault="004A4E17" w:rsidP="00581E21">
            <w:r w:rsidRPr="00462A25">
              <w:t>Service Provider</w:t>
            </w:r>
            <w:r w:rsidR="00C03393" w:rsidRPr="00462A25">
              <w:t xml:space="preserve"> shall qualify and pay for registration and reporting of all generation attributes existing as of contract Effective Date. </w:t>
            </w:r>
          </w:p>
          <w:p w14:paraId="6B15554E" w14:textId="77777777" w:rsidR="00581E21" w:rsidRPr="00462A25" w:rsidRDefault="00581E21" w:rsidP="00581E21"/>
          <w:p w14:paraId="4A6D0BFA" w14:textId="77777777" w:rsidR="00502349" w:rsidRPr="00462A25" w:rsidRDefault="004A4E17" w:rsidP="00581E21">
            <w:r w:rsidRPr="00462A25">
              <w:t>Service Provider</w:t>
            </w:r>
            <w:r w:rsidR="00C03393" w:rsidRPr="00462A25">
              <w:t xml:space="preserve"> shall pay up to $50,000 in any contract year for the cost to qualify and report any new Generation Attributes that come in existence after the </w:t>
            </w:r>
            <w:r w:rsidR="0006774E" w:rsidRPr="00462A25">
              <w:t>C</w:t>
            </w:r>
            <w:r w:rsidR="00C03393" w:rsidRPr="00462A25">
              <w:t>ontract Effect</w:t>
            </w:r>
            <w:r w:rsidR="0006774E" w:rsidRPr="00462A25">
              <w:t>ive</w:t>
            </w:r>
            <w:r w:rsidR="00C03393" w:rsidRPr="00462A25">
              <w:t xml:space="preserve"> Date, or </w:t>
            </w:r>
            <w:r w:rsidR="0006774E" w:rsidRPr="00462A25">
              <w:t xml:space="preserve">due to </w:t>
            </w:r>
            <w:r w:rsidR="00C03393" w:rsidRPr="00462A25">
              <w:t>changes in Applicable Law.</w:t>
            </w:r>
          </w:p>
          <w:p w14:paraId="0B9A8266" w14:textId="2E5D4000" w:rsidR="00C56192" w:rsidRPr="00462A25" w:rsidRDefault="00C56192" w:rsidP="00581E21"/>
        </w:tc>
      </w:tr>
      <w:tr w:rsidR="00462A25" w:rsidRPr="00462A25" w14:paraId="2EF1651F" w14:textId="4B73DB60" w:rsidTr="2BBB9A93">
        <w:tc>
          <w:tcPr>
            <w:tcW w:w="0" w:type="auto"/>
            <w:shd w:val="clear" w:color="auto" w:fill="auto"/>
            <w:vAlign w:val="center"/>
          </w:tcPr>
          <w:p w14:paraId="6F4BD2D1" w14:textId="1370AE5F" w:rsidR="008E479F" w:rsidRPr="00462A25" w:rsidRDefault="00C03393" w:rsidP="00155793">
            <w:r w:rsidRPr="00462A25">
              <w:t xml:space="preserve">Capacity </w:t>
            </w:r>
            <w:r w:rsidR="008E479F" w:rsidRPr="00462A25">
              <w:t>Attributes</w:t>
            </w:r>
          </w:p>
        </w:tc>
        <w:tc>
          <w:tcPr>
            <w:tcW w:w="6820" w:type="dxa"/>
            <w:shd w:val="clear" w:color="auto" w:fill="auto"/>
            <w:vAlign w:val="center"/>
          </w:tcPr>
          <w:p w14:paraId="1B180BEA" w14:textId="2972CECA" w:rsidR="00502349" w:rsidRPr="00462A25" w:rsidRDefault="004A4E17" w:rsidP="00AA4631">
            <w:r w:rsidRPr="00462A25">
              <w:t>Service Provider</w:t>
            </w:r>
            <w:r w:rsidR="008E479F" w:rsidRPr="00462A25">
              <w:t xml:space="preserve"> shall comply and register with W</w:t>
            </w:r>
            <w:r w:rsidR="00AA4631" w:rsidRPr="00462A25">
              <w:t>RAP and any other registry for A</w:t>
            </w:r>
            <w:r w:rsidR="008E479F" w:rsidRPr="00462A25">
              <w:t xml:space="preserve">ttributes </w:t>
            </w:r>
            <w:r w:rsidR="003E4FEB" w:rsidRPr="00462A25">
              <w:t xml:space="preserve">that </w:t>
            </w:r>
            <w:r w:rsidR="00DC14B9" w:rsidRPr="00462A25">
              <w:t>Customer</w:t>
            </w:r>
            <w:r w:rsidR="003E4FEB" w:rsidRPr="00462A25">
              <w:t xml:space="preserve"> requests.</w:t>
            </w:r>
            <w:r w:rsidR="00AA4631" w:rsidRPr="00462A25">
              <w:t xml:space="preserve"> </w:t>
            </w:r>
            <w:r w:rsidRPr="00462A25">
              <w:t>Service Provider</w:t>
            </w:r>
            <w:r w:rsidR="008E479F" w:rsidRPr="00462A25">
              <w:t xml:space="preserve"> </w:t>
            </w:r>
            <w:r w:rsidR="00933B6D" w:rsidRPr="00462A25">
              <w:t xml:space="preserve">shall pay </w:t>
            </w:r>
            <w:r w:rsidR="008E479F" w:rsidRPr="00462A25">
              <w:t xml:space="preserve">100% of replacement cost for failure to deliver Attributes. </w:t>
            </w:r>
          </w:p>
          <w:p w14:paraId="47F8CD86" w14:textId="547156B4" w:rsidR="00C56192" w:rsidRPr="00462A25" w:rsidRDefault="00C56192" w:rsidP="00AA4631"/>
        </w:tc>
      </w:tr>
      <w:tr w:rsidR="00462A25" w:rsidRPr="00462A25" w14:paraId="78AA66F4" w14:textId="77777777" w:rsidTr="2BBB9A93">
        <w:trPr>
          <w:trHeight w:val="350"/>
        </w:trPr>
        <w:tc>
          <w:tcPr>
            <w:tcW w:w="0" w:type="auto"/>
            <w:shd w:val="clear" w:color="auto" w:fill="auto"/>
            <w:vAlign w:val="center"/>
          </w:tcPr>
          <w:p w14:paraId="260CB7FA" w14:textId="1F2FB13A" w:rsidR="008E479F" w:rsidRPr="00462A25" w:rsidRDefault="008E479F" w:rsidP="00F96CE2">
            <w:r w:rsidRPr="00462A25">
              <w:t>Title and Risk of Loss</w:t>
            </w:r>
          </w:p>
        </w:tc>
        <w:tc>
          <w:tcPr>
            <w:tcW w:w="6820" w:type="dxa"/>
            <w:shd w:val="clear" w:color="auto" w:fill="auto"/>
          </w:tcPr>
          <w:p w14:paraId="50FAC956" w14:textId="47EB4332" w:rsidR="00502349" w:rsidRPr="00462A25" w:rsidRDefault="004A4E17" w:rsidP="00581E21">
            <w:pPr>
              <w:rPr>
                <w:rFonts w:cstheme="minorHAnsi"/>
              </w:rPr>
            </w:pPr>
            <w:r w:rsidRPr="00462A25">
              <w:rPr>
                <w:rFonts w:cstheme="minorHAnsi"/>
              </w:rPr>
              <w:t>PSE retains title and risk of loss to all Energy at all times. Service Provider has exclusive control, possession and risk of damage or injury after delivery of</w:t>
            </w:r>
            <w:r w:rsidR="00DC14B9" w:rsidRPr="00462A25">
              <w:rPr>
                <w:rFonts w:cstheme="minorHAnsi"/>
              </w:rPr>
              <w:t xml:space="preserve"> Charging E</w:t>
            </w:r>
            <w:r w:rsidRPr="00462A25">
              <w:rPr>
                <w:rFonts w:cstheme="minorHAnsi"/>
              </w:rPr>
              <w:t>nergy at the Interconnection Point until the Discharge Energy is redelivered to the Interconnection Point.</w:t>
            </w:r>
          </w:p>
        </w:tc>
      </w:tr>
      <w:tr w:rsidR="00462A25" w:rsidRPr="00462A25" w14:paraId="561BBC2E" w14:textId="77777777" w:rsidTr="2BBB9A93">
        <w:trPr>
          <w:trHeight w:val="350"/>
        </w:trPr>
        <w:tc>
          <w:tcPr>
            <w:tcW w:w="0" w:type="auto"/>
            <w:shd w:val="clear" w:color="auto" w:fill="auto"/>
            <w:vAlign w:val="center"/>
          </w:tcPr>
          <w:p w14:paraId="6C836CFD" w14:textId="2519F7C7" w:rsidR="00C03393" w:rsidRPr="00462A25" w:rsidRDefault="00C03393" w:rsidP="00F96CE2">
            <w:r w:rsidRPr="00462A25">
              <w:t>Interconnection</w:t>
            </w:r>
          </w:p>
        </w:tc>
        <w:tc>
          <w:tcPr>
            <w:tcW w:w="6820" w:type="dxa"/>
            <w:shd w:val="clear" w:color="auto" w:fill="auto"/>
            <w:vAlign w:val="center"/>
          </w:tcPr>
          <w:p w14:paraId="1D78C669" w14:textId="71BDC48B" w:rsidR="00581E21" w:rsidRPr="00462A25" w:rsidRDefault="004A4E17" w:rsidP="00581E21">
            <w:pPr>
              <w:rPr>
                <w:rStyle w:val="normaltextrun"/>
                <w:shd w:val="clear" w:color="auto" w:fill="FFFFFF"/>
              </w:rPr>
            </w:pPr>
            <w:r w:rsidRPr="00462A25">
              <w:t>Service Provider</w:t>
            </w:r>
            <w:r w:rsidR="00C03393" w:rsidRPr="00462A25">
              <w:t xml:space="preserve"> responsible for meeting all interconnection requirements</w:t>
            </w:r>
            <w:r w:rsidR="00C03393" w:rsidRPr="00462A25">
              <w:rPr>
                <w:rStyle w:val="normaltextrun"/>
                <w:shd w:val="clear" w:color="auto" w:fill="FFFFFF"/>
              </w:rPr>
              <w:t xml:space="preserve"> of the Intercon</w:t>
            </w:r>
            <w:r w:rsidR="0006774E" w:rsidRPr="00462A25">
              <w:rPr>
                <w:rStyle w:val="normaltextrun"/>
                <w:shd w:val="clear" w:color="auto" w:fill="FFFFFF"/>
              </w:rPr>
              <w:t>nection Agreement Counterparty</w:t>
            </w:r>
            <w:r w:rsidR="00C03393" w:rsidRPr="00462A25">
              <w:rPr>
                <w:rStyle w:val="normaltextrun"/>
                <w:shd w:val="clear" w:color="auto" w:fill="FFFFFF"/>
              </w:rPr>
              <w:t xml:space="preserve">. </w:t>
            </w:r>
          </w:p>
          <w:p w14:paraId="39D9B60C" w14:textId="77777777" w:rsidR="00581E21" w:rsidRPr="00462A25" w:rsidRDefault="00581E21" w:rsidP="00581E21">
            <w:pPr>
              <w:rPr>
                <w:rStyle w:val="normaltextrun"/>
                <w:shd w:val="clear" w:color="auto" w:fill="FFFFFF"/>
              </w:rPr>
            </w:pPr>
          </w:p>
          <w:p w14:paraId="04E334BC" w14:textId="1DF0401F" w:rsidR="00581E21" w:rsidRPr="00462A25" w:rsidRDefault="004A4E17" w:rsidP="00581E21">
            <w:pPr>
              <w:rPr>
                <w:rStyle w:val="normaltextrun"/>
                <w:shd w:val="clear" w:color="auto" w:fill="FFFFFF"/>
              </w:rPr>
            </w:pPr>
            <w:r w:rsidRPr="00462A25">
              <w:rPr>
                <w:rStyle w:val="normaltextrun"/>
                <w:shd w:val="clear" w:color="auto" w:fill="FFFFFF"/>
              </w:rPr>
              <w:t>Service Provider</w:t>
            </w:r>
            <w:r w:rsidR="00C03393" w:rsidRPr="00462A25">
              <w:rPr>
                <w:rStyle w:val="normaltextrun"/>
                <w:shd w:val="clear" w:color="auto" w:fill="FFFFFF"/>
              </w:rPr>
              <w:t xml:space="preserve"> responsible at its sole cost for putting into place all required metering, telemetry, communication systems and other technical requirements under the Interconnection Agreement.</w:t>
            </w:r>
          </w:p>
          <w:p w14:paraId="67EE4B3B" w14:textId="77777777" w:rsidR="00581E21" w:rsidRPr="00462A25" w:rsidRDefault="00581E21" w:rsidP="00581E21">
            <w:pPr>
              <w:rPr>
                <w:rStyle w:val="normaltextrun"/>
                <w:shd w:val="clear" w:color="auto" w:fill="FFFFFF"/>
              </w:rPr>
            </w:pPr>
          </w:p>
          <w:p w14:paraId="220D2CC3" w14:textId="5CF0E901" w:rsidR="00AA4631" w:rsidRPr="00462A25" w:rsidRDefault="00C03393" w:rsidP="00502349">
            <w:r w:rsidRPr="00462A25">
              <w:rPr>
                <w:i/>
              </w:rPr>
              <w:t>[If applicable]</w:t>
            </w:r>
            <w:r w:rsidRPr="00462A25">
              <w:t xml:space="preserve"> </w:t>
            </w:r>
            <w:r w:rsidR="004A4E17" w:rsidRPr="00462A25">
              <w:t>Service Provider</w:t>
            </w:r>
            <w:r w:rsidRPr="00462A25">
              <w:t xml:space="preserve"> responsible for all systems requirements under Interconnection Agreement to pseudo-tie to </w:t>
            </w:r>
            <w:r w:rsidR="00DC14B9" w:rsidRPr="00462A25">
              <w:t>Customer</w:t>
            </w:r>
            <w:r w:rsidRPr="00462A25">
              <w:t>’s balancing area.</w:t>
            </w:r>
          </w:p>
          <w:p w14:paraId="08F9115C" w14:textId="6BB53708" w:rsidR="00AA4631" w:rsidRPr="00462A25" w:rsidRDefault="00AA4631" w:rsidP="00502349"/>
        </w:tc>
      </w:tr>
      <w:tr w:rsidR="00462A25" w:rsidRPr="00462A25" w14:paraId="706F31E8" w14:textId="2D49FE3F" w:rsidTr="2BBB9A93">
        <w:trPr>
          <w:trHeight w:val="350"/>
        </w:trPr>
        <w:tc>
          <w:tcPr>
            <w:tcW w:w="0" w:type="auto"/>
            <w:shd w:val="clear" w:color="auto" w:fill="auto"/>
            <w:vAlign w:val="center"/>
          </w:tcPr>
          <w:p w14:paraId="7739C8CC" w14:textId="0B1ADC33" w:rsidR="008E479F" w:rsidRPr="00462A25" w:rsidRDefault="008E479F" w:rsidP="00F96CE2">
            <w:r w:rsidRPr="00462A25">
              <w:t>Transmission</w:t>
            </w:r>
          </w:p>
        </w:tc>
        <w:tc>
          <w:tcPr>
            <w:tcW w:w="6820" w:type="dxa"/>
            <w:shd w:val="clear" w:color="auto" w:fill="auto"/>
            <w:vAlign w:val="center"/>
          </w:tcPr>
          <w:p w14:paraId="5E138200" w14:textId="61103465" w:rsidR="00581E21" w:rsidRPr="00462A25" w:rsidRDefault="004A4E17" w:rsidP="00581E21">
            <w:pPr>
              <w:rPr>
                <w:rStyle w:val="normaltextrun"/>
                <w:shd w:val="clear" w:color="auto" w:fill="FFFFFF"/>
              </w:rPr>
            </w:pPr>
            <w:r w:rsidRPr="00462A25">
              <w:rPr>
                <w:rStyle w:val="normaltextrun"/>
                <w:shd w:val="clear" w:color="auto" w:fill="FFFFFF"/>
              </w:rPr>
              <w:t>Service Provider</w:t>
            </w:r>
            <w:r w:rsidR="003E4FEB" w:rsidRPr="00462A25">
              <w:rPr>
                <w:rStyle w:val="normaltextrun"/>
                <w:shd w:val="clear" w:color="auto" w:fill="FFFFFF"/>
              </w:rPr>
              <w:t xml:space="preserve"> responsible for arranging for all transmission services required up to the Delivery Point. </w:t>
            </w:r>
          </w:p>
          <w:p w14:paraId="1B755877" w14:textId="77777777" w:rsidR="00581E21" w:rsidRPr="00462A25" w:rsidRDefault="00581E21" w:rsidP="00581E21">
            <w:pPr>
              <w:rPr>
                <w:rStyle w:val="normaltextrun"/>
                <w:shd w:val="clear" w:color="auto" w:fill="FFFFFF"/>
              </w:rPr>
            </w:pPr>
          </w:p>
          <w:p w14:paraId="3164E02D" w14:textId="189BFBDC" w:rsidR="00581E21" w:rsidRPr="00462A25" w:rsidRDefault="00AC2952" w:rsidP="00581E21">
            <w:pPr>
              <w:rPr>
                <w:rStyle w:val="normaltextrun"/>
                <w:shd w:val="clear" w:color="auto" w:fill="FFFFFF"/>
              </w:rPr>
            </w:pPr>
            <w:r w:rsidRPr="00462A25">
              <w:rPr>
                <w:rStyle w:val="normaltextrun"/>
                <w:i/>
                <w:shd w:val="clear" w:color="auto" w:fill="FFFFFF"/>
              </w:rPr>
              <w:t xml:space="preserve">[Unless transmission service rights </w:t>
            </w:r>
            <w:r w:rsidR="0006774E" w:rsidRPr="00462A25">
              <w:rPr>
                <w:rStyle w:val="normaltextrun"/>
                <w:i/>
                <w:shd w:val="clear" w:color="auto" w:fill="FFFFFF"/>
              </w:rPr>
              <w:t xml:space="preserve">are </w:t>
            </w:r>
            <w:r w:rsidRPr="00462A25">
              <w:rPr>
                <w:rStyle w:val="normaltextrun"/>
                <w:i/>
                <w:shd w:val="clear" w:color="auto" w:fill="FFFFFF"/>
              </w:rPr>
              <w:t>assigned to PSE]</w:t>
            </w:r>
            <w:r w:rsidRPr="00462A25">
              <w:rPr>
                <w:rStyle w:val="normaltextrun"/>
                <w:shd w:val="clear" w:color="auto" w:fill="FFFFFF"/>
              </w:rPr>
              <w:t xml:space="preserve">, </w:t>
            </w:r>
            <w:r w:rsidR="004A4E17" w:rsidRPr="00462A25">
              <w:rPr>
                <w:rStyle w:val="normaltextrun"/>
                <w:shd w:val="clear" w:color="auto" w:fill="FFFFFF"/>
              </w:rPr>
              <w:t>Service Provider</w:t>
            </w:r>
            <w:r w:rsidR="003E4FEB" w:rsidRPr="00462A25">
              <w:rPr>
                <w:rStyle w:val="normaltextrun"/>
                <w:shd w:val="clear" w:color="auto" w:fill="FFFFFF"/>
              </w:rPr>
              <w:t xml:space="preserve"> responsible for payment of any charges for transmission or wheeling services, ancillary services, control area services, congestion charges, location marginal pricing differentials, transaction charges and line losses (“</w:t>
            </w:r>
            <w:r w:rsidR="003E4FEB" w:rsidRPr="00462A25">
              <w:rPr>
                <w:rStyle w:val="normaltextrun"/>
                <w:u w:val="single"/>
                <w:shd w:val="clear" w:color="auto" w:fill="FFFFFF"/>
              </w:rPr>
              <w:t>Transmission Charges</w:t>
            </w:r>
            <w:r w:rsidR="003E4FEB" w:rsidRPr="00462A25">
              <w:rPr>
                <w:rStyle w:val="normaltextrun"/>
                <w:shd w:val="clear" w:color="auto" w:fill="FFFFFF"/>
              </w:rPr>
              <w:t>”) up to and at the Delivery Point.</w:t>
            </w:r>
          </w:p>
          <w:p w14:paraId="39D20C92" w14:textId="77777777" w:rsidR="00581E21" w:rsidRPr="00462A25" w:rsidRDefault="00581E21" w:rsidP="00581E21">
            <w:pPr>
              <w:rPr>
                <w:rStyle w:val="normaltextrun"/>
                <w:shd w:val="clear" w:color="auto" w:fill="FFFFFF"/>
              </w:rPr>
            </w:pPr>
          </w:p>
          <w:p w14:paraId="4CF044F6" w14:textId="7ED1D896" w:rsidR="00502349" w:rsidRPr="00462A25" w:rsidRDefault="00DC14B9" w:rsidP="00581E21">
            <w:r w:rsidRPr="00462A25">
              <w:t>Customer</w:t>
            </w:r>
            <w:r w:rsidR="008E479F" w:rsidRPr="00462A25">
              <w:t xml:space="preserve"> responsible for transmission service and associated charges from and after Point</w:t>
            </w:r>
            <w:r w:rsidRPr="00462A25">
              <w:t xml:space="preserve"> of Delivery</w:t>
            </w:r>
            <w:r w:rsidR="008E479F" w:rsidRPr="00462A25">
              <w:t xml:space="preserve">. </w:t>
            </w:r>
          </w:p>
          <w:p w14:paraId="58708A1C" w14:textId="048DBF4B" w:rsidR="00C56192" w:rsidRPr="00462A25" w:rsidRDefault="00C56192" w:rsidP="00581E21"/>
        </w:tc>
      </w:tr>
      <w:tr w:rsidR="00462A25" w:rsidRPr="00462A25" w14:paraId="1EB04A5F" w14:textId="286CDA9B" w:rsidTr="2BBB9A93">
        <w:trPr>
          <w:trHeight w:val="620"/>
        </w:trPr>
        <w:tc>
          <w:tcPr>
            <w:tcW w:w="0" w:type="auto"/>
            <w:shd w:val="clear" w:color="auto" w:fill="auto"/>
            <w:vAlign w:val="center"/>
          </w:tcPr>
          <w:p w14:paraId="053B1400" w14:textId="5AF8E7A0" w:rsidR="008E479F" w:rsidRPr="00462A25" w:rsidRDefault="008E479F" w:rsidP="00DE6F37">
            <w:r w:rsidRPr="00462A25">
              <w:t>Pre-COD Milestones</w:t>
            </w:r>
            <w:r w:rsidR="00E43329" w:rsidRPr="00462A25">
              <w:t xml:space="preserve"> and Delay Liquidated Damages</w:t>
            </w:r>
          </w:p>
        </w:tc>
        <w:tc>
          <w:tcPr>
            <w:tcW w:w="6820" w:type="dxa"/>
            <w:shd w:val="clear" w:color="auto" w:fill="auto"/>
          </w:tcPr>
          <w:p w14:paraId="161A27EE" w14:textId="7E4F506A" w:rsidR="00581E21" w:rsidRPr="00462A25" w:rsidRDefault="008E479F" w:rsidP="00581E21">
            <w:r>
              <w:t xml:space="preserve">If </w:t>
            </w:r>
            <w:r w:rsidR="0006774E">
              <w:t xml:space="preserve">either </w:t>
            </w:r>
            <w:r w:rsidR="00DC44A9">
              <w:t xml:space="preserve">Target Construction Start Date or Guaranteed </w:t>
            </w:r>
            <w:r>
              <w:t xml:space="preserve">COD </w:t>
            </w:r>
            <w:r w:rsidR="008E3B63">
              <w:t xml:space="preserve">is </w:t>
            </w:r>
            <w:r w:rsidR="00DC44A9">
              <w:t>not met</w:t>
            </w:r>
            <w:r>
              <w:t xml:space="preserve">, </w:t>
            </w:r>
            <w:r w:rsidR="004A4E17">
              <w:t>Service Provider</w:t>
            </w:r>
            <w:r w:rsidR="00DC44A9">
              <w:t xml:space="preserve"> shall pay daily delay liquidated damages </w:t>
            </w:r>
            <w:r w:rsidR="0006774E">
              <w:t xml:space="preserve">of </w:t>
            </w:r>
            <w:r w:rsidR="00DC44A9">
              <w:t>$</w:t>
            </w:r>
            <w:r w:rsidR="61D1FD41">
              <w:t>5</w:t>
            </w:r>
            <w:r w:rsidR="00E43329">
              <w:t>0</w:t>
            </w:r>
            <w:r w:rsidR="2E0AB9E9">
              <w:t>0</w:t>
            </w:r>
            <w:r>
              <w:t xml:space="preserve"> x Planned Nameplate Capacity</w:t>
            </w:r>
            <w:r w:rsidR="0006774E">
              <w:t xml:space="preserve"> (MW</w:t>
            </w:r>
            <w:r w:rsidR="0006774E" w:rsidRPr="0A9C7578">
              <w:rPr>
                <w:vertAlign w:val="subscript"/>
              </w:rPr>
              <w:t>AC</w:t>
            </w:r>
            <w:r w:rsidR="0006774E">
              <w:t>)</w:t>
            </w:r>
            <w:r>
              <w:t xml:space="preserve">. </w:t>
            </w:r>
          </w:p>
          <w:p w14:paraId="6C5A0B8E" w14:textId="77777777" w:rsidR="00581E21" w:rsidRPr="00462A25" w:rsidRDefault="00581E21" w:rsidP="00581E21"/>
          <w:p w14:paraId="52A540FB" w14:textId="77777777" w:rsidR="008E479F" w:rsidRPr="00462A25" w:rsidRDefault="008E479F" w:rsidP="00581E21">
            <w:r w:rsidRPr="00462A25">
              <w:t xml:space="preserve">Target Construction Start Date and Guaranteed COD may be extended by up to </w:t>
            </w:r>
            <w:r w:rsidR="00E43329" w:rsidRPr="00462A25">
              <w:t xml:space="preserve">180 </w:t>
            </w:r>
            <w:r w:rsidR="00373366" w:rsidRPr="00462A25">
              <w:t xml:space="preserve">days </w:t>
            </w:r>
            <w:r w:rsidRPr="00462A25">
              <w:t>due to Force Majeure or Inte</w:t>
            </w:r>
            <w:r w:rsidR="0006774E" w:rsidRPr="00462A25">
              <w:t>rconnection Delays in aggregate.</w:t>
            </w:r>
            <w:r w:rsidRPr="00462A25">
              <w:t xml:space="preserve"> </w:t>
            </w:r>
          </w:p>
          <w:p w14:paraId="093DB0B2" w14:textId="67160406" w:rsidR="00502349" w:rsidRPr="00462A25" w:rsidRDefault="00502349" w:rsidP="00581E21"/>
        </w:tc>
      </w:tr>
      <w:tr w:rsidR="00462A25" w:rsidRPr="00462A25" w14:paraId="01A189E3" w14:textId="5C43419A" w:rsidTr="2BBB9A93">
        <w:tc>
          <w:tcPr>
            <w:tcW w:w="0" w:type="auto"/>
            <w:shd w:val="clear" w:color="auto" w:fill="auto"/>
            <w:vAlign w:val="center"/>
          </w:tcPr>
          <w:p w14:paraId="453213B3" w14:textId="77777777" w:rsidR="00E43329" w:rsidRPr="00462A25" w:rsidRDefault="008E479F" w:rsidP="00DE6F37">
            <w:r w:rsidRPr="00462A25">
              <w:lastRenderedPageBreak/>
              <w:t>Early Termination</w:t>
            </w:r>
            <w:r w:rsidR="00E43329" w:rsidRPr="00462A25">
              <w:t xml:space="preserve"> and </w:t>
            </w:r>
          </w:p>
          <w:p w14:paraId="6D0B9434" w14:textId="3E36539A" w:rsidR="008E479F" w:rsidRPr="00462A25" w:rsidRDefault="00E43329" w:rsidP="00DE6F37">
            <w:r w:rsidRPr="00462A25">
              <w:t>Pre-COD Termination Payment</w:t>
            </w:r>
          </w:p>
        </w:tc>
        <w:tc>
          <w:tcPr>
            <w:tcW w:w="6820" w:type="dxa"/>
            <w:shd w:val="clear" w:color="auto" w:fill="auto"/>
          </w:tcPr>
          <w:p w14:paraId="523D00F3" w14:textId="40E8EC6D" w:rsidR="00581E21" w:rsidRPr="00462A25" w:rsidRDefault="008E3B63" w:rsidP="00581E21">
            <w:r w:rsidRPr="00462A25">
              <w:t xml:space="preserve">Failure to achieve </w:t>
            </w:r>
            <w:r w:rsidR="008E479F" w:rsidRPr="00462A25">
              <w:t>Target Construction Start Date within 90 days</w:t>
            </w:r>
            <w:r w:rsidR="00DB6345" w:rsidRPr="00462A25">
              <w:t xml:space="preserve"> or </w:t>
            </w:r>
            <w:r w:rsidR="008E479F" w:rsidRPr="00462A25">
              <w:t>GCOD within 180 days</w:t>
            </w:r>
            <w:r w:rsidRPr="00462A25">
              <w:t xml:space="preserve"> are events of default, with PSE right to terminate </w:t>
            </w:r>
            <w:r w:rsidR="00DC14B9" w:rsidRPr="00462A25">
              <w:t>Agreement</w:t>
            </w:r>
            <w:r w:rsidRPr="00462A25">
              <w:t xml:space="preserve"> and collect Pre-COD termination payment</w:t>
            </w:r>
            <w:r w:rsidR="00373366" w:rsidRPr="00462A25">
              <w:t>.</w:t>
            </w:r>
          </w:p>
          <w:p w14:paraId="66A6680F" w14:textId="77777777" w:rsidR="00581E21" w:rsidRPr="00462A25" w:rsidRDefault="00581E21" w:rsidP="00581E21"/>
          <w:p w14:paraId="12C1C1CE" w14:textId="0F17EFB2" w:rsidR="004A4E17" w:rsidRPr="00462A25" w:rsidRDefault="008E479F" w:rsidP="00502349">
            <w:r>
              <w:t>Pre-COD termination payment:</w:t>
            </w:r>
            <w:r w:rsidR="63DB61D6">
              <w:t xml:space="preserve"> </w:t>
            </w:r>
            <w:r>
              <w:t>$</w:t>
            </w:r>
            <w:r w:rsidR="2FDEA317">
              <w:t>100</w:t>
            </w:r>
            <w:r>
              <w:t>,000 per MW of Planned Nameplate Capacity</w:t>
            </w:r>
            <w:r w:rsidR="0058609C">
              <w:t xml:space="preserve">, </w:t>
            </w:r>
            <w:r w:rsidR="0058609C" w:rsidRPr="0A9C7578">
              <w:rPr>
                <w:i/>
                <w:iCs/>
              </w:rPr>
              <w:t>plus</w:t>
            </w:r>
            <w:r>
              <w:t xml:space="preserve"> any delay LDs paid or payable by </w:t>
            </w:r>
            <w:r w:rsidR="004A4E17">
              <w:t>Service Provider</w:t>
            </w:r>
            <w:r w:rsidR="00373366">
              <w:t>.</w:t>
            </w:r>
          </w:p>
          <w:p w14:paraId="624EBC7A" w14:textId="77FBD25A" w:rsidR="00502349" w:rsidRPr="00462A25" w:rsidRDefault="00502349" w:rsidP="00502349"/>
        </w:tc>
      </w:tr>
      <w:tr w:rsidR="00462A25" w:rsidRPr="00462A25" w14:paraId="39FE05E2" w14:textId="77777777" w:rsidTr="2BBB9A93">
        <w:tc>
          <w:tcPr>
            <w:tcW w:w="0" w:type="auto"/>
            <w:shd w:val="clear" w:color="auto" w:fill="auto"/>
            <w:vAlign w:val="center"/>
          </w:tcPr>
          <w:p w14:paraId="27EA68DA" w14:textId="6E3F4CD1" w:rsidR="0058609C" w:rsidRPr="00462A25" w:rsidRDefault="00DC14B9" w:rsidP="00DC14B9">
            <w:r w:rsidRPr="00462A25">
              <w:t xml:space="preserve">Contract Capacity and Liquidated Damages </w:t>
            </w:r>
            <w:r w:rsidR="00DB6345" w:rsidRPr="00462A25">
              <w:t xml:space="preserve"> </w:t>
            </w:r>
          </w:p>
        </w:tc>
        <w:tc>
          <w:tcPr>
            <w:tcW w:w="6820" w:type="dxa"/>
            <w:shd w:val="clear" w:color="auto" w:fill="auto"/>
          </w:tcPr>
          <w:p w14:paraId="28EF75B8" w14:textId="2D9B0DB2" w:rsidR="00581E21" w:rsidRPr="00462A25" w:rsidRDefault="004A4E17" w:rsidP="00581E21">
            <w:r w:rsidRPr="00462A25">
              <w:t>Service Provider</w:t>
            </w:r>
            <w:r w:rsidR="0058609C" w:rsidRPr="00462A25">
              <w:t xml:space="preserve"> shall not be permitted to achieve </w:t>
            </w:r>
            <w:r w:rsidR="00DB6345" w:rsidRPr="00462A25">
              <w:t xml:space="preserve">COD </w:t>
            </w:r>
            <w:r w:rsidR="0058609C" w:rsidRPr="00462A25">
              <w:t xml:space="preserve">unless the </w:t>
            </w:r>
            <w:r w:rsidR="00DC14B9" w:rsidRPr="00462A25">
              <w:t>Contract</w:t>
            </w:r>
            <w:r w:rsidR="0058609C" w:rsidRPr="00462A25">
              <w:t xml:space="preserve"> Capacity </w:t>
            </w:r>
            <w:r w:rsidR="00462A25" w:rsidRPr="00462A25">
              <w:t xml:space="preserve">determined by a Performance Test </w:t>
            </w:r>
            <w:r w:rsidR="0058609C" w:rsidRPr="00462A25">
              <w:t>equal</w:t>
            </w:r>
            <w:r w:rsidR="00DB6345" w:rsidRPr="00462A25">
              <w:t>s</w:t>
            </w:r>
            <w:r w:rsidR="0058609C" w:rsidRPr="00462A25">
              <w:t xml:space="preserve"> or exceed </w:t>
            </w:r>
            <w:r w:rsidR="00DC14B9" w:rsidRPr="00462A25">
              <w:t>95</w:t>
            </w:r>
            <w:r w:rsidR="0058609C" w:rsidRPr="00462A25">
              <w:t xml:space="preserve">% of Planned Nameplate Capacity.  </w:t>
            </w:r>
          </w:p>
          <w:p w14:paraId="2CEC962B" w14:textId="77777777" w:rsidR="00581E21" w:rsidRPr="00462A25" w:rsidRDefault="00581E21" w:rsidP="00581E21"/>
          <w:p w14:paraId="1F7C622B" w14:textId="2A84C0D2" w:rsidR="0058609C" w:rsidRPr="00462A25" w:rsidRDefault="0058609C" w:rsidP="00581E21">
            <w:r w:rsidRPr="00462A25">
              <w:t xml:space="preserve">If </w:t>
            </w:r>
            <w:r w:rsidR="00462A25" w:rsidRPr="00462A25">
              <w:t>Contract</w:t>
            </w:r>
            <w:r w:rsidRPr="00462A25">
              <w:t xml:space="preserve"> Capacity is less than </w:t>
            </w:r>
            <w:r w:rsidR="0062738B" w:rsidRPr="00462A25">
              <w:t>100%</w:t>
            </w:r>
            <w:r w:rsidRPr="00462A25">
              <w:t xml:space="preserve"> of Planned Nameplate</w:t>
            </w:r>
            <w:r w:rsidR="00462A25" w:rsidRPr="00462A25">
              <w:t xml:space="preserve"> Capacity</w:t>
            </w:r>
            <w:r w:rsidRPr="00462A25">
              <w:t xml:space="preserve"> </w:t>
            </w:r>
            <w:r w:rsidR="0062738B" w:rsidRPr="00462A25">
              <w:t>at COD</w:t>
            </w:r>
            <w:r w:rsidRPr="00462A25">
              <w:t xml:space="preserve">, </w:t>
            </w:r>
            <w:r w:rsidR="004A4E17" w:rsidRPr="00462A25">
              <w:t>Service Provider</w:t>
            </w:r>
            <w:r w:rsidRPr="00462A25">
              <w:t xml:space="preserve"> </w:t>
            </w:r>
            <w:r w:rsidR="0062738B" w:rsidRPr="00462A25">
              <w:t xml:space="preserve">has </w:t>
            </w:r>
            <w:r w:rsidR="00DC14B9" w:rsidRPr="00462A25">
              <w:t>6</w:t>
            </w:r>
            <w:r w:rsidR="0062738B" w:rsidRPr="00462A25">
              <w:t>0</w:t>
            </w:r>
            <w:r w:rsidRPr="00462A25">
              <w:t xml:space="preserve"> days to install additional capacity </w:t>
            </w:r>
            <w:r w:rsidR="00DB6345" w:rsidRPr="00462A25">
              <w:t>to reach Planned Nameplate</w:t>
            </w:r>
            <w:r w:rsidR="00462A25" w:rsidRPr="00462A25">
              <w:t xml:space="preserve"> Capacity</w:t>
            </w:r>
            <w:r w:rsidR="00DB6345" w:rsidRPr="00462A25">
              <w:t xml:space="preserve">, or </w:t>
            </w:r>
            <w:r w:rsidRPr="00462A25">
              <w:t xml:space="preserve">make a one-time </w:t>
            </w:r>
            <w:r w:rsidR="0062738B" w:rsidRPr="00462A25">
              <w:t xml:space="preserve">liquidated damages </w:t>
            </w:r>
            <w:r w:rsidRPr="00462A25">
              <w:t xml:space="preserve">payment to </w:t>
            </w:r>
            <w:r w:rsidR="00DC14B9" w:rsidRPr="00462A25">
              <w:t>Customer</w:t>
            </w:r>
            <w:r w:rsidRPr="00462A25">
              <w:t xml:space="preserve"> </w:t>
            </w:r>
            <w:r w:rsidR="0062738B" w:rsidRPr="00462A25">
              <w:t xml:space="preserve">of </w:t>
            </w:r>
            <w:r w:rsidR="004A4E17" w:rsidRPr="00462A25">
              <w:t>$25</w:t>
            </w:r>
            <w:r w:rsidRPr="00462A25">
              <w:t>0,000/</w:t>
            </w:r>
            <w:r w:rsidR="004A4E17" w:rsidRPr="00462A25">
              <w:t xml:space="preserve"> MW</w:t>
            </w:r>
            <w:r w:rsidR="004A4E17" w:rsidRPr="00462A25">
              <w:rPr>
                <w:vertAlign w:val="subscript"/>
              </w:rPr>
              <w:t>AC</w:t>
            </w:r>
            <w:r w:rsidRPr="00462A25">
              <w:t xml:space="preserve"> </w:t>
            </w:r>
            <w:r w:rsidR="0062738B" w:rsidRPr="00462A25">
              <w:t xml:space="preserve">for each MWAC </w:t>
            </w:r>
            <w:r w:rsidRPr="00462A25">
              <w:t>below Nameplate</w:t>
            </w:r>
            <w:r w:rsidR="00462A25" w:rsidRPr="00462A25">
              <w:t xml:space="preserve"> Capacity</w:t>
            </w:r>
            <w:r w:rsidR="0062738B" w:rsidRPr="00462A25">
              <w:t>.</w:t>
            </w:r>
          </w:p>
          <w:p w14:paraId="66C54BE9" w14:textId="0CF148A4" w:rsidR="004A4E17" w:rsidRPr="00462A25" w:rsidRDefault="004A4E17" w:rsidP="00581E21"/>
        </w:tc>
      </w:tr>
      <w:tr w:rsidR="00462A25" w:rsidRPr="00462A25" w14:paraId="45D4B6BC" w14:textId="77777777" w:rsidTr="2BBB9A93">
        <w:tc>
          <w:tcPr>
            <w:tcW w:w="0" w:type="auto"/>
            <w:shd w:val="clear" w:color="auto" w:fill="auto"/>
          </w:tcPr>
          <w:p w14:paraId="207FD15A" w14:textId="77777777" w:rsidR="00F95FBA" w:rsidRPr="00462A25" w:rsidRDefault="00F95FBA" w:rsidP="00F95FBA">
            <w:pPr>
              <w:pStyle w:val="paragraph"/>
              <w:spacing w:before="0" w:beforeAutospacing="0" w:after="0" w:afterAutospacing="0"/>
              <w:textAlignment w:val="baseline"/>
              <w:divId w:val="486211963"/>
              <w:rPr>
                <w:rFonts w:ascii="Segoe UI" w:hAnsi="Segoe UI" w:cs="Segoe UI"/>
                <w:sz w:val="18"/>
                <w:szCs w:val="18"/>
              </w:rPr>
            </w:pPr>
            <w:r w:rsidRPr="00462A25">
              <w:rPr>
                <w:rStyle w:val="normaltextrun"/>
                <w:rFonts w:ascii="Calibri" w:hAnsi="Calibri" w:cs="Calibri"/>
                <w:sz w:val="22"/>
                <w:szCs w:val="22"/>
              </w:rPr>
              <w:t>Storage Payment</w:t>
            </w:r>
            <w:r w:rsidRPr="00462A25">
              <w:rPr>
                <w:rStyle w:val="eop"/>
                <w:rFonts w:ascii="Calibri" w:hAnsi="Calibri" w:cs="Calibri"/>
                <w:sz w:val="22"/>
                <w:szCs w:val="22"/>
              </w:rPr>
              <w:t> </w:t>
            </w:r>
          </w:p>
          <w:p w14:paraId="4A575334" w14:textId="41E60BD6" w:rsidR="00F95FBA" w:rsidRPr="00462A25" w:rsidRDefault="00F95FBA" w:rsidP="00F95FBA"/>
        </w:tc>
        <w:tc>
          <w:tcPr>
            <w:tcW w:w="6820" w:type="dxa"/>
            <w:shd w:val="clear" w:color="auto" w:fill="auto"/>
          </w:tcPr>
          <w:p w14:paraId="7A05B810" w14:textId="77777777" w:rsidR="00F95FBA" w:rsidRPr="00462A25" w:rsidRDefault="00F95FBA" w:rsidP="00F95FBA">
            <w:pPr>
              <w:pStyle w:val="paragraph"/>
              <w:spacing w:before="0" w:beforeAutospacing="0" w:after="0" w:afterAutospacing="0"/>
              <w:textAlignment w:val="baseline"/>
              <w:divId w:val="811797486"/>
              <w:rPr>
                <w:rFonts w:ascii="Segoe UI" w:hAnsi="Segoe UI" w:cs="Segoe UI"/>
                <w:sz w:val="18"/>
                <w:szCs w:val="18"/>
              </w:rPr>
            </w:pPr>
            <w:r w:rsidRPr="00462A25">
              <w:rPr>
                <w:rStyle w:val="normaltextrun"/>
                <w:rFonts w:ascii="Calibri" w:hAnsi="Calibri" w:cs="Calibri"/>
                <w:sz w:val="22"/>
                <w:szCs w:val="22"/>
              </w:rPr>
              <w:t>Contract Price x Effective Capacity x Availability Adjustment</w:t>
            </w:r>
            <w:r w:rsidRPr="00462A25">
              <w:rPr>
                <w:rStyle w:val="eop"/>
                <w:rFonts w:ascii="Calibri" w:hAnsi="Calibri" w:cs="Calibri"/>
                <w:sz w:val="22"/>
                <w:szCs w:val="22"/>
              </w:rPr>
              <w:t> </w:t>
            </w:r>
          </w:p>
          <w:p w14:paraId="48733579" w14:textId="77777777" w:rsidR="00F95FBA" w:rsidRPr="00462A25" w:rsidRDefault="00F95FBA" w:rsidP="00F95FBA">
            <w:pPr>
              <w:pStyle w:val="paragraph"/>
              <w:spacing w:before="0" w:beforeAutospacing="0" w:after="0" w:afterAutospacing="0"/>
              <w:textAlignment w:val="baseline"/>
              <w:divId w:val="828250279"/>
              <w:rPr>
                <w:rFonts w:ascii="Segoe UI" w:hAnsi="Segoe UI" w:cs="Segoe UI"/>
                <w:sz w:val="18"/>
                <w:szCs w:val="18"/>
              </w:rPr>
            </w:pPr>
            <w:r w:rsidRPr="00462A25">
              <w:rPr>
                <w:rStyle w:val="normaltextrun"/>
                <w:rFonts w:ascii="Calibri" w:hAnsi="Calibri" w:cs="Calibri"/>
                <w:i/>
                <w:iCs/>
                <w:sz w:val="22"/>
                <w:szCs w:val="22"/>
              </w:rPr>
              <w:t>minus</w:t>
            </w:r>
            <w:r w:rsidRPr="00462A25">
              <w:rPr>
                <w:rStyle w:val="normaltextrun"/>
                <w:rFonts w:ascii="Calibri" w:hAnsi="Calibri" w:cs="Calibri"/>
                <w:sz w:val="22"/>
                <w:szCs w:val="22"/>
              </w:rPr>
              <w:t xml:space="preserve"> Roundtrip Efficiency Adjustment</w:t>
            </w:r>
            <w:r w:rsidRPr="00462A25">
              <w:rPr>
                <w:rStyle w:val="eop"/>
                <w:rFonts w:ascii="Calibri" w:hAnsi="Calibri" w:cs="Calibri"/>
                <w:sz w:val="22"/>
                <w:szCs w:val="22"/>
              </w:rPr>
              <w:t> </w:t>
            </w:r>
          </w:p>
          <w:p w14:paraId="06D73FF2" w14:textId="77777777" w:rsidR="00F95FBA" w:rsidRPr="00462A25" w:rsidRDefault="00F95FBA" w:rsidP="00F95FBA">
            <w:pPr>
              <w:pStyle w:val="paragraph"/>
              <w:spacing w:before="0" w:beforeAutospacing="0" w:after="0" w:afterAutospacing="0"/>
              <w:textAlignment w:val="baseline"/>
              <w:divId w:val="1602184694"/>
              <w:rPr>
                <w:rFonts w:ascii="Segoe UI" w:hAnsi="Segoe UI" w:cs="Segoe UI"/>
                <w:sz w:val="18"/>
                <w:szCs w:val="18"/>
              </w:rPr>
            </w:pPr>
            <w:r w:rsidRPr="00462A25">
              <w:rPr>
                <w:rStyle w:val="normaltextrun"/>
                <w:rFonts w:ascii="Calibri" w:hAnsi="Calibri" w:cs="Calibri"/>
                <w:i/>
                <w:iCs/>
                <w:sz w:val="22"/>
                <w:szCs w:val="22"/>
              </w:rPr>
              <w:t>minus</w:t>
            </w:r>
            <w:r w:rsidRPr="00462A25">
              <w:rPr>
                <w:rStyle w:val="normaltextrun"/>
                <w:rFonts w:ascii="Calibri" w:hAnsi="Calibri" w:cs="Calibri"/>
                <w:sz w:val="22"/>
                <w:szCs w:val="22"/>
              </w:rPr>
              <w:t xml:space="preserve"> Max(Capacity Adjustment, Discharge Spread)</w:t>
            </w:r>
            <w:r w:rsidRPr="00462A25">
              <w:rPr>
                <w:rStyle w:val="eop"/>
                <w:rFonts w:ascii="Calibri" w:hAnsi="Calibri" w:cs="Calibri"/>
                <w:sz w:val="22"/>
                <w:szCs w:val="22"/>
              </w:rPr>
              <w:t> </w:t>
            </w:r>
          </w:p>
          <w:p w14:paraId="0ABCEA5A" w14:textId="4572ECC1" w:rsidR="00F95FBA" w:rsidRPr="00462A25" w:rsidRDefault="00F95FBA" w:rsidP="00F95FBA">
            <w:pPr>
              <w:pStyle w:val="paragraph"/>
              <w:spacing w:before="0" w:beforeAutospacing="0" w:after="0" w:afterAutospacing="0"/>
              <w:textAlignment w:val="baseline"/>
              <w:divId w:val="933975969"/>
              <w:rPr>
                <w:rFonts w:ascii="Segoe UI" w:hAnsi="Segoe UI" w:cs="Segoe UI"/>
                <w:sz w:val="18"/>
                <w:szCs w:val="18"/>
              </w:rPr>
            </w:pPr>
            <w:r w:rsidRPr="00462A25">
              <w:rPr>
                <w:rStyle w:val="normaltextrun"/>
                <w:rFonts w:ascii="Calibri" w:hAnsi="Calibri" w:cs="Calibri"/>
                <w:i/>
                <w:iCs/>
                <w:sz w:val="22"/>
                <w:szCs w:val="22"/>
              </w:rPr>
              <w:t>minus</w:t>
            </w:r>
            <w:r w:rsidR="00502349" w:rsidRPr="00462A25">
              <w:rPr>
                <w:rStyle w:val="normaltextrun"/>
                <w:rFonts w:ascii="Calibri" w:hAnsi="Calibri" w:cs="Calibri"/>
                <w:sz w:val="22"/>
                <w:szCs w:val="22"/>
              </w:rPr>
              <w:t xml:space="preserve"> Sharing Event Liquidated Damages</w:t>
            </w:r>
          </w:p>
          <w:p w14:paraId="42B407EF" w14:textId="773A3052" w:rsidR="00F95FBA" w:rsidRPr="00462A25" w:rsidRDefault="00F95FBA" w:rsidP="00F95FBA">
            <w:pPr>
              <w:pStyle w:val="paragraph"/>
              <w:spacing w:before="0" w:beforeAutospacing="0" w:after="0" w:afterAutospacing="0"/>
              <w:textAlignment w:val="baseline"/>
              <w:divId w:val="563106823"/>
              <w:rPr>
                <w:rFonts w:ascii="Segoe UI" w:hAnsi="Segoe UI" w:cs="Segoe UI"/>
                <w:sz w:val="18"/>
                <w:szCs w:val="18"/>
              </w:rPr>
            </w:pPr>
            <w:r w:rsidRPr="00462A25">
              <w:rPr>
                <w:rStyle w:val="eop"/>
                <w:rFonts w:ascii="Calibri" w:hAnsi="Calibri" w:cs="Calibri"/>
                <w:sz w:val="22"/>
                <w:szCs w:val="22"/>
              </w:rPr>
              <w:t>  </w:t>
            </w:r>
          </w:p>
          <w:p w14:paraId="1FBA2353" w14:textId="0FD126FC" w:rsidR="00502349" w:rsidRPr="00462A25" w:rsidRDefault="00F95FBA" w:rsidP="00F95FBA">
            <w:pPr>
              <w:rPr>
                <w:rStyle w:val="normaltextrun"/>
                <w:rFonts w:ascii="Calibri" w:hAnsi="Calibri" w:cs="Calibri"/>
              </w:rPr>
            </w:pPr>
            <w:r w:rsidRPr="00462A25">
              <w:rPr>
                <w:rStyle w:val="normaltextrun"/>
                <w:rFonts w:ascii="Calibri" w:hAnsi="Calibri" w:cs="Calibri"/>
              </w:rPr>
              <w:t>Any FM &gt;24 hours during which charge cannot be received nor delivered, the monthly Storage Payment shall be reduced on a pro rata basis.</w:t>
            </w:r>
          </w:p>
          <w:p w14:paraId="65D14B64" w14:textId="77777777" w:rsidR="00C56192" w:rsidRPr="00462A25" w:rsidRDefault="00C56192" w:rsidP="00F95FBA">
            <w:pPr>
              <w:rPr>
                <w:rStyle w:val="normaltextrun"/>
                <w:rFonts w:ascii="Calibri" w:hAnsi="Calibri" w:cs="Calibri"/>
              </w:rPr>
            </w:pPr>
          </w:p>
          <w:p w14:paraId="131FCBA8" w14:textId="64F17FA1" w:rsidR="00F95FBA" w:rsidRPr="00462A25" w:rsidRDefault="00F95FBA" w:rsidP="00F95FBA">
            <w:r w:rsidRPr="00462A25">
              <w:rPr>
                <w:rStyle w:val="eop"/>
                <w:rFonts w:ascii="Calibri" w:hAnsi="Calibri" w:cs="Calibri"/>
              </w:rPr>
              <w:t> </w:t>
            </w:r>
          </w:p>
        </w:tc>
      </w:tr>
      <w:tr w:rsidR="00462A25" w:rsidRPr="00462A25" w14:paraId="40881D5A" w14:textId="77777777" w:rsidTr="2BBB9A93">
        <w:tc>
          <w:tcPr>
            <w:tcW w:w="0" w:type="auto"/>
            <w:shd w:val="clear" w:color="auto" w:fill="auto"/>
          </w:tcPr>
          <w:p w14:paraId="2CDDD43B" w14:textId="77777777" w:rsidR="00F95FBA" w:rsidRPr="00462A25" w:rsidRDefault="00F95FBA" w:rsidP="00F95FBA">
            <w:pPr>
              <w:pStyle w:val="paragraph"/>
              <w:spacing w:before="0" w:beforeAutospacing="0" w:after="0" w:afterAutospacing="0"/>
              <w:textAlignment w:val="baseline"/>
              <w:divId w:val="1742095170"/>
              <w:rPr>
                <w:rFonts w:ascii="Segoe UI" w:hAnsi="Segoe UI" w:cs="Segoe UI"/>
                <w:sz w:val="18"/>
                <w:szCs w:val="18"/>
              </w:rPr>
            </w:pPr>
            <w:r w:rsidRPr="00462A25">
              <w:rPr>
                <w:rStyle w:val="normaltextrun"/>
                <w:rFonts w:ascii="Calibri" w:hAnsi="Calibri" w:cs="Calibri"/>
                <w:sz w:val="22"/>
                <w:szCs w:val="22"/>
              </w:rPr>
              <w:t>Availability Adjustment</w:t>
            </w:r>
            <w:r w:rsidRPr="00462A25">
              <w:rPr>
                <w:rStyle w:val="eop"/>
                <w:rFonts w:ascii="Calibri" w:hAnsi="Calibri" w:cs="Calibri"/>
                <w:sz w:val="22"/>
                <w:szCs w:val="22"/>
              </w:rPr>
              <w:t> </w:t>
            </w:r>
          </w:p>
          <w:p w14:paraId="5E8107FF" w14:textId="3160D886" w:rsidR="00F95FBA" w:rsidRPr="00462A25" w:rsidRDefault="00F95FBA" w:rsidP="00F95FBA"/>
        </w:tc>
        <w:tc>
          <w:tcPr>
            <w:tcW w:w="6820" w:type="dxa"/>
            <w:shd w:val="clear" w:color="auto" w:fill="auto"/>
          </w:tcPr>
          <w:p w14:paraId="4C7ED829" w14:textId="77777777" w:rsidR="00F95FBA" w:rsidRPr="00462A25" w:rsidRDefault="00F95FBA" w:rsidP="00F95FBA">
            <w:pPr>
              <w:pStyle w:val="paragraph"/>
              <w:spacing w:before="0" w:beforeAutospacing="0" w:after="0" w:afterAutospacing="0"/>
              <w:textAlignment w:val="baseline"/>
              <w:divId w:val="437335663"/>
              <w:rPr>
                <w:rFonts w:ascii="Segoe UI" w:hAnsi="Segoe UI" w:cs="Segoe UI"/>
                <w:sz w:val="18"/>
                <w:szCs w:val="18"/>
              </w:rPr>
            </w:pPr>
            <w:r w:rsidRPr="00462A25">
              <w:rPr>
                <w:rStyle w:val="normaltextrun"/>
                <w:rFonts w:ascii="Calibri" w:hAnsi="Calibri" w:cs="Calibri"/>
                <w:sz w:val="22"/>
                <w:szCs w:val="22"/>
              </w:rPr>
              <w:t>100 –(Guaranteed Availability – Actual Availability)</w:t>
            </w:r>
            <w:r w:rsidRPr="00462A25">
              <w:rPr>
                <w:rStyle w:val="eop"/>
                <w:rFonts w:ascii="Calibri" w:hAnsi="Calibri" w:cs="Calibri"/>
                <w:sz w:val="22"/>
                <w:szCs w:val="22"/>
              </w:rPr>
              <w:t> </w:t>
            </w:r>
          </w:p>
          <w:p w14:paraId="20121920" w14:textId="1A992C33" w:rsidR="00F95FBA" w:rsidRPr="00462A25" w:rsidRDefault="00F95FBA" w:rsidP="00F95FBA">
            <w:pPr>
              <w:pStyle w:val="paragraph"/>
              <w:spacing w:before="0" w:beforeAutospacing="0" w:after="0" w:afterAutospacing="0"/>
              <w:textAlignment w:val="baseline"/>
              <w:divId w:val="1756514037"/>
              <w:rPr>
                <w:rFonts w:ascii="Segoe UI" w:hAnsi="Segoe UI" w:cs="Segoe UI"/>
                <w:sz w:val="18"/>
                <w:szCs w:val="18"/>
              </w:rPr>
            </w:pPr>
            <w:r w:rsidRPr="00462A25">
              <w:rPr>
                <w:rStyle w:val="eop"/>
                <w:rFonts w:ascii="Calibri" w:hAnsi="Calibri" w:cs="Calibri"/>
                <w:sz w:val="22"/>
                <w:szCs w:val="22"/>
              </w:rPr>
              <w:t> </w:t>
            </w:r>
            <w:r w:rsidRPr="00462A25">
              <w:rPr>
                <w:rStyle w:val="normaltextrun"/>
                <w:rFonts w:ascii="Calibri" w:hAnsi="Calibri" w:cs="Calibri"/>
                <w:sz w:val="22"/>
                <w:szCs w:val="22"/>
              </w:rPr>
              <w:t xml:space="preserve">Year 1: Guarantee </w:t>
            </w:r>
            <w:r w:rsidR="00502349" w:rsidRPr="00462A25">
              <w:rPr>
                <w:rStyle w:val="normaltextrun"/>
                <w:rFonts w:ascii="Calibri" w:hAnsi="Calibri" w:cs="Calibri"/>
                <w:sz w:val="22"/>
                <w:szCs w:val="22"/>
              </w:rPr>
              <w:t xml:space="preserve">95%;  </w:t>
            </w:r>
            <w:r w:rsidRPr="00462A25">
              <w:rPr>
                <w:rStyle w:val="normaltextrun"/>
                <w:rFonts w:ascii="Calibri" w:hAnsi="Calibri" w:cs="Calibri"/>
                <w:sz w:val="22"/>
                <w:szCs w:val="22"/>
              </w:rPr>
              <w:t xml:space="preserve">Y2+: Guarantee 98.5% </w:t>
            </w:r>
          </w:p>
          <w:p w14:paraId="46794B69" w14:textId="77777777" w:rsidR="00502349" w:rsidRPr="00462A25" w:rsidRDefault="00502349" w:rsidP="00F95FBA">
            <w:pPr>
              <w:pStyle w:val="paragraph"/>
              <w:spacing w:before="0" w:beforeAutospacing="0" w:after="0" w:afterAutospacing="0"/>
              <w:textAlignment w:val="baseline"/>
              <w:divId w:val="1029530297"/>
              <w:rPr>
                <w:rStyle w:val="normaltextrun"/>
                <w:rFonts w:ascii="Calibri" w:hAnsi="Calibri" w:cs="Calibri"/>
                <w:sz w:val="22"/>
                <w:szCs w:val="22"/>
              </w:rPr>
            </w:pPr>
          </w:p>
          <w:p w14:paraId="0EB46474" w14:textId="0756DB8C" w:rsidR="00F95FBA" w:rsidRPr="00462A25" w:rsidRDefault="00F95FBA" w:rsidP="00AA4631">
            <w:pPr>
              <w:pStyle w:val="paragraph"/>
              <w:spacing w:before="0" w:beforeAutospacing="0" w:after="0" w:afterAutospacing="0"/>
              <w:textAlignment w:val="baseline"/>
              <w:divId w:val="1029530297"/>
              <w:rPr>
                <w:rStyle w:val="eop"/>
                <w:rFonts w:ascii="Calibri" w:hAnsi="Calibri" w:cs="Calibri"/>
                <w:sz w:val="22"/>
                <w:szCs w:val="22"/>
              </w:rPr>
            </w:pPr>
            <w:r w:rsidRPr="00462A25">
              <w:rPr>
                <w:rStyle w:val="normaltextrun"/>
                <w:rFonts w:ascii="Calibri" w:hAnsi="Calibri" w:cs="Calibri"/>
                <w:sz w:val="22"/>
                <w:szCs w:val="22"/>
              </w:rPr>
              <w:t>Actual Availability calculates uptime excluding Planned Outages</w:t>
            </w:r>
            <w:r w:rsidRPr="00462A25">
              <w:rPr>
                <w:rStyle w:val="eop"/>
                <w:rFonts w:ascii="Calibri" w:hAnsi="Calibri" w:cs="Calibri"/>
                <w:sz w:val="22"/>
                <w:szCs w:val="22"/>
              </w:rPr>
              <w:t> </w:t>
            </w:r>
          </w:p>
          <w:p w14:paraId="2A313731" w14:textId="77777777" w:rsidR="00AA4631" w:rsidRPr="00462A25" w:rsidRDefault="00AA4631" w:rsidP="00AA4631">
            <w:pPr>
              <w:pStyle w:val="paragraph"/>
              <w:spacing w:before="0" w:beforeAutospacing="0" w:after="0" w:afterAutospacing="0"/>
              <w:textAlignment w:val="baseline"/>
              <w:divId w:val="1029530297"/>
              <w:rPr>
                <w:rFonts w:ascii="Segoe UI" w:hAnsi="Segoe UI" w:cs="Segoe UI"/>
                <w:sz w:val="18"/>
                <w:szCs w:val="18"/>
              </w:rPr>
            </w:pPr>
          </w:p>
          <w:p w14:paraId="397E70BC" w14:textId="77777777" w:rsidR="00F95FBA" w:rsidRPr="00462A25" w:rsidRDefault="00F95FBA" w:rsidP="00F95FBA">
            <w:pPr>
              <w:pStyle w:val="paragraph"/>
              <w:spacing w:before="0" w:beforeAutospacing="0" w:after="0" w:afterAutospacing="0"/>
              <w:jc w:val="center"/>
              <w:textAlignment w:val="baseline"/>
              <w:divId w:val="908615572"/>
              <w:rPr>
                <w:rFonts w:ascii="Segoe UI" w:hAnsi="Segoe UI" w:cs="Segoe UI"/>
                <w:sz w:val="18"/>
                <w:szCs w:val="18"/>
              </w:rPr>
            </w:pPr>
            <w:r w:rsidRPr="00462A25">
              <w:rPr>
                <w:rStyle w:val="normaltextrun"/>
                <w:rFonts w:ascii="Calibri" w:hAnsi="Calibri" w:cs="Calibri"/>
                <w:sz w:val="22"/>
                <w:szCs w:val="22"/>
                <w:u w:val="single"/>
              </w:rPr>
              <w:t>H – EF – TP – FM</w:t>
            </w:r>
            <w:r w:rsidRPr="00462A25">
              <w:rPr>
                <w:rStyle w:val="eop"/>
                <w:rFonts w:ascii="Calibri" w:hAnsi="Calibri" w:cs="Calibri"/>
                <w:sz w:val="22"/>
                <w:szCs w:val="22"/>
              </w:rPr>
              <w:t> </w:t>
            </w:r>
          </w:p>
          <w:p w14:paraId="187D0407" w14:textId="77777777" w:rsidR="00502349" w:rsidRPr="00462A25" w:rsidRDefault="00F95FBA" w:rsidP="00502349">
            <w:pPr>
              <w:pStyle w:val="paragraph"/>
              <w:spacing w:before="0" w:beforeAutospacing="0" w:after="0" w:afterAutospacing="0"/>
              <w:jc w:val="center"/>
              <w:textAlignment w:val="baseline"/>
              <w:divId w:val="1396201674"/>
              <w:rPr>
                <w:rFonts w:ascii="Segoe UI" w:hAnsi="Segoe UI" w:cs="Segoe UI"/>
                <w:sz w:val="18"/>
                <w:szCs w:val="18"/>
              </w:rPr>
            </w:pPr>
            <w:r w:rsidRPr="00462A25">
              <w:rPr>
                <w:rStyle w:val="normaltextrun"/>
                <w:rFonts w:ascii="Calibri" w:hAnsi="Calibri" w:cs="Calibri"/>
                <w:sz w:val="22"/>
                <w:szCs w:val="22"/>
              </w:rPr>
              <w:t>H – TP – FM</w:t>
            </w:r>
            <w:r w:rsidRPr="00462A25">
              <w:rPr>
                <w:rStyle w:val="eop"/>
                <w:rFonts w:ascii="Calibri" w:hAnsi="Calibri" w:cs="Calibri"/>
                <w:sz w:val="22"/>
                <w:szCs w:val="22"/>
              </w:rPr>
              <w:t> </w:t>
            </w:r>
          </w:p>
          <w:p w14:paraId="1D126B8B" w14:textId="460A6978" w:rsidR="00F95FBA" w:rsidRPr="00462A25" w:rsidRDefault="00F95FBA" w:rsidP="00502349">
            <w:pPr>
              <w:pStyle w:val="paragraph"/>
              <w:spacing w:before="0" w:beforeAutospacing="0" w:after="0" w:afterAutospacing="0"/>
              <w:jc w:val="center"/>
              <w:textAlignment w:val="baseline"/>
              <w:divId w:val="1396201674"/>
              <w:rPr>
                <w:rFonts w:ascii="Segoe UI" w:hAnsi="Segoe UI" w:cs="Segoe UI"/>
                <w:sz w:val="18"/>
                <w:szCs w:val="18"/>
              </w:rPr>
            </w:pPr>
            <w:r w:rsidRPr="00462A25">
              <w:rPr>
                <w:rStyle w:val="eop"/>
              </w:rPr>
              <w:t> </w:t>
            </w:r>
          </w:p>
          <w:p w14:paraId="66B47EF2" w14:textId="77777777" w:rsidR="00F95FBA" w:rsidRPr="00462A25" w:rsidRDefault="00F95FBA" w:rsidP="00502349">
            <w:pPr>
              <w:pStyle w:val="paragraph"/>
              <w:spacing w:before="0" w:beforeAutospacing="0" w:after="0" w:afterAutospacing="0"/>
              <w:jc w:val="both"/>
              <w:textAlignment w:val="baseline"/>
              <w:divId w:val="1048067486"/>
              <w:rPr>
                <w:rFonts w:ascii="Segoe UI" w:hAnsi="Segoe UI" w:cs="Segoe UI"/>
                <w:sz w:val="18"/>
                <w:szCs w:val="18"/>
              </w:rPr>
            </w:pPr>
            <w:r w:rsidRPr="00462A25">
              <w:rPr>
                <w:rStyle w:val="normaltextrun"/>
                <w:rFonts w:ascii="Calibri" w:hAnsi="Calibri" w:cs="Calibri"/>
                <w:sz w:val="22"/>
                <w:szCs w:val="22"/>
              </w:rPr>
              <w:t>H = Total Number of Hours in the applicable Contract Year;</w:t>
            </w:r>
            <w:r w:rsidRPr="00462A25">
              <w:rPr>
                <w:rStyle w:val="eop"/>
                <w:rFonts w:ascii="Calibri" w:hAnsi="Calibri" w:cs="Calibri"/>
                <w:sz w:val="22"/>
                <w:szCs w:val="22"/>
              </w:rPr>
              <w:t> </w:t>
            </w:r>
          </w:p>
          <w:p w14:paraId="357706BF" w14:textId="22D8EE49" w:rsidR="00F95FBA" w:rsidRPr="00462A25" w:rsidRDefault="00F95FBA" w:rsidP="00502349">
            <w:pPr>
              <w:pStyle w:val="paragraph"/>
              <w:spacing w:before="0" w:beforeAutospacing="0" w:after="0" w:afterAutospacing="0"/>
              <w:jc w:val="both"/>
              <w:textAlignment w:val="baseline"/>
              <w:divId w:val="2137064713"/>
              <w:rPr>
                <w:rFonts w:ascii="Segoe UI" w:hAnsi="Segoe UI" w:cs="Segoe UI"/>
                <w:sz w:val="18"/>
                <w:szCs w:val="18"/>
              </w:rPr>
            </w:pPr>
            <w:r w:rsidRPr="00462A25">
              <w:rPr>
                <w:rStyle w:val="normaltextrun"/>
                <w:rFonts w:ascii="Calibri" w:hAnsi="Calibri" w:cs="Calibri"/>
                <w:sz w:val="22"/>
                <w:szCs w:val="22"/>
              </w:rPr>
              <w:t xml:space="preserve">EF = Equivalent Forced Outage Hours in </w:t>
            </w:r>
            <w:r w:rsidR="00502349" w:rsidRPr="00462A25">
              <w:rPr>
                <w:rStyle w:val="normaltextrun"/>
                <w:rFonts w:ascii="Calibri" w:hAnsi="Calibri" w:cs="Calibri"/>
                <w:sz w:val="22"/>
                <w:szCs w:val="22"/>
              </w:rPr>
              <w:t>the applicable Contract Year</w:t>
            </w:r>
          </w:p>
          <w:p w14:paraId="324A9864" w14:textId="35D3D4D8" w:rsidR="00F95FBA" w:rsidRPr="00462A25" w:rsidRDefault="00F95FBA" w:rsidP="00502349">
            <w:pPr>
              <w:pStyle w:val="paragraph"/>
              <w:spacing w:before="0" w:beforeAutospacing="0" w:after="0" w:afterAutospacing="0"/>
              <w:jc w:val="both"/>
              <w:textAlignment w:val="baseline"/>
              <w:divId w:val="719323498"/>
              <w:rPr>
                <w:rFonts w:ascii="Segoe UI" w:hAnsi="Segoe UI" w:cs="Segoe UI"/>
                <w:sz w:val="18"/>
                <w:szCs w:val="18"/>
              </w:rPr>
            </w:pPr>
            <w:r w:rsidRPr="00462A25">
              <w:rPr>
                <w:rStyle w:val="normaltextrun"/>
                <w:rFonts w:ascii="Calibri" w:hAnsi="Calibri" w:cs="Calibri"/>
                <w:sz w:val="22"/>
                <w:szCs w:val="22"/>
              </w:rPr>
              <w:t>TP = Total Effective Planned Outage Hours in the applicable Contract Year</w:t>
            </w:r>
            <w:r w:rsidRPr="00462A25">
              <w:rPr>
                <w:rStyle w:val="eop"/>
                <w:rFonts w:ascii="Calibri" w:hAnsi="Calibri" w:cs="Calibri"/>
                <w:sz w:val="22"/>
                <w:szCs w:val="22"/>
              </w:rPr>
              <w:t> </w:t>
            </w:r>
          </w:p>
          <w:p w14:paraId="72C50759" w14:textId="77777777" w:rsidR="00F95FBA" w:rsidRPr="00462A25" w:rsidRDefault="00F95FBA" w:rsidP="00502349">
            <w:pPr>
              <w:pStyle w:val="paragraph"/>
              <w:spacing w:before="0" w:beforeAutospacing="0" w:after="0" w:afterAutospacing="0"/>
              <w:jc w:val="both"/>
              <w:textAlignment w:val="baseline"/>
              <w:divId w:val="1356351319"/>
              <w:rPr>
                <w:rFonts w:ascii="Segoe UI" w:hAnsi="Segoe UI" w:cs="Segoe UI"/>
                <w:sz w:val="18"/>
                <w:szCs w:val="18"/>
              </w:rPr>
            </w:pPr>
            <w:r w:rsidRPr="00462A25">
              <w:rPr>
                <w:rStyle w:val="normaltextrun"/>
                <w:rFonts w:ascii="Calibri" w:hAnsi="Calibri" w:cs="Calibri"/>
                <w:sz w:val="22"/>
                <w:szCs w:val="22"/>
              </w:rPr>
              <w:t>FM = Total Force Majeure Hours in the applicable Contract Year</w:t>
            </w:r>
            <w:r w:rsidRPr="00462A25">
              <w:rPr>
                <w:rStyle w:val="eop"/>
                <w:rFonts w:ascii="Calibri" w:hAnsi="Calibri" w:cs="Calibri"/>
                <w:sz w:val="22"/>
                <w:szCs w:val="22"/>
              </w:rPr>
              <w:t> </w:t>
            </w:r>
          </w:p>
          <w:p w14:paraId="0BB7C511" w14:textId="77777777" w:rsidR="00F95FBA" w:rsidRPr="00462A25" w:rsidRDefault="00F95FBA" w:rsidP="00F95FBA">
            <w:pPr>
              <w:pStyle w:val="paragraph"/>
              <w:spacing w:before="0" w:beforeAutospacing="0" w:after="0" w:afterAutospacing="0"/>
              <w:ind w:left="720"/>
              <w:jc w:val="both"/>
              <w:textAlignment w:val="baseline"/>
              <w:divId w:val="1958097748"/>
              <w:rPr>
                <w:rFonts w:ascii="Segoe UI" w:hAnsi="Segoe UI" w:cs="Segoe UI"/>
                <w:sz w:val="18"/>
                <w:szCs w:val="18"/>
              </w:rPr>
            </w:pPr>
            <w:r w:rsidRPr="00462A25">
              <w:rPr>
                <w:rStyle w:val="eop"/>
                <w:rFonts w:ascii="Calibri" w:hAnsi="Calibri" w:cs="Calibri"/>
                <w:sz w:val="22"/>
                <w:szCs w:val="22"/>
              </w:rPr>
              <w:t> </w:t>
            </w:r>
          </w:p>
          <w:p w14:paraId="3E9F6457" w14:textId="77777777" w:rsidR="00F95FBA" w:rsidRPr="00462A25" w:rsidRDefault="00F95FBA" w:rsidP="00F95FBA">
            <w:pPr>
              <w:rPr>
                <w:rStyle w:val="eop"/>
                <w:rFonts w:ascii="Calibri" w:hAnsi="Calibri" w:cs="Calibri"/>
              </w:rPr>
            </w:pPr>
            <w:r w:rsidRPr="00462A25">
              <w:rPr>
                <w:rStyle w:val="normaltextrun"/>
                <w:rFonts w:ascii="Calibri" w:hAnsi="Calibri" w:cs="Calibri"/>
              </w:rPr>
              <w:t>Planned Outages capped at 200 hours per year. </w:t>
            </w:r>
            <w:r w:rsidRPr="00462A25">
              <w:rPr>
                <w:rStyle w:val="eop"/>
                <w:rFonts w:ascii="Calibri" w:hAnsi="Calibri" w:cs="Calibri"/>
              </w:rPr>
              <w:t> </w:t>
            </w:r>
          </w:p>
          <w:p w14:paraId="171CA239" w14:textId="1B76FB9D" w:rsidR="00F95FBA" w:rsidRPr="00462A25" w:rsidRDefault="00F95FBA" w:rsidP="00F95FBA"/>
        </w:tc>
      </w:tr>
      <w:tr w:rsidR="00462A25" w:rsidRPr="00462A25" w14:paraId="72090A82" w14:textId="77777777" w:rsidTr="2BBB9A93">
        <w:tc>
          <w:tcPr>
            <w:tcW w:w="0" w:type="auto"/>
            <w:shd w:val="clear" w:color="auto" w:fill="auto"/>
          </w:tcPr>
          <w:p w14:paraId="11E2081E" w14:textId="77777777" w:rsidR="00F95FBA" w:rsidRPr="00462A25" w:rsidRDefault="00F95FBA" w:rsidP="00F95FBA">
            <w:pPr>
              <w:pStyle w:val="paragraph"/>
              <w:spacing w:before="0" w:beforeAutospacing="0" w:after="0" w:afterAutospacing="0"/>
              <w:textAlignment w:val="baseline"/>
              <w:divId w:val="1355418411"/>
              <w:rPr>
                <w:rFonts w:ascii="Segoe UI" w:hAnsi="Segoe UI" w:cs="Segoe UI"/>
                <w:sz w:val="18"/>
                <w:szCs w:val="18"/>
              </w:rPr>
            </w:pPr>
            <w:r w:rsidRPr="00462A25">
              <w:rPr>
                <w:rStyle w:val="normaltextrun"/>
                <w:rFonts w:ascii="Calibri" w:hAnsi="Calibri" w:cs="Calibri"/>
                <w:sz w:val="22"/>
                <w:szCs w:val="22"/>
              </w:rPr>
              <w:lastRenderedPageBreak/>
              <w:t>Roundtrip Efficiency</w:t>
            </w:r>
            <w:r w:rsidRPr="00462A25">
              <w:rPr>
                <w:rStyle w:val="eop"/>
                <w:rFonts w:ascii="Calibri" w:hAnsi="Calibri" w:cs="Calibri"/>
                <w:sz w:val="22"/>
                <w:szCs w:val="22"/>
              </w:rPr>
              <w:t> </w:t>
            </w:r>
          </w:p>
          <w:p w14:paraId="40DAEBD3" w14:textId="6B5F66F7" w:rsidR="00F95FBA" w:rsidRPr="00462A25" w:rsidRDefault="00F95FBA" w:rsidP="00F95FBA"/>
        </w:tc>
        <w:tc>
          <w:tcPr>
            <w:tcW w:w="6820" w:type="dxa"/>
            <w:shd w:val="clear" w:color="auto" w:fill="auto"/>
          </w:tcPr>
          <w:p w14:paraId="632BE3C2" w14:textId="0707A378" w:rsidR="00F95FBA" w:rsidRPr="00462A25" w:rsidRDefault="00F95FBA" w:rsidP="00F95FBA">
            <w:pPr>
              <w:pStyle w:val="paragraph"/>
              <w:spacing w:before="0" w:beforeAutospacing="0" w:after="0" w:afterAutospacing="0"/>
              <w:textAlignment w:val="baseline"/>
              <w:divId w:val="1349451914"/>
              <w:rPr>
                <w:rFonts w:ascii="Segoe UI" w:hAnsi="Segoe UI" w:cs="Segoe UI"/>
                <w:sz w:val="18"/>
                <w:szCs w:val="18"/>
              </w:rPr>
            </w:pPr>
            <w:proofErr w:type="spellStart"/>
            <w:r w:rsidRPr="00462A25">
              <w:rPr>
                <w:rStyle w:val="normaltextrun"/>
                <w:rFonts w:ascii="Calibri" w:hAnsi="Calibri" w:cs="Calibri"/>
                <w:sz w:val="22"/>
                <w:szCs w:val="22"/>
              </w:rPr>
              <w:t>RTE</w:t>
            </w:r>
            <w:r w:rsidRPr="00462A25">
              <w:rPr>
                <w:rStyle w:val="normaltextrun"/>
                <w:rFonts w:ascii="Calibri" w:hAnsi="Calibri" w:cs="Calibri"/>
                <w:sz w:val="22"/>
                <w:szCs w:val="22"/>
                <w:vertAlign w:val="subscript"/>
              </w:rPr>
              <w:t>Ad</w:t>
            </w:r>
            <w:r w:rsidRPr="00462A25">
              <w:rPr>
                <w:rStyle w:val="normaltextrun"/>
                <w:rFonts w:ascii="Calibri" w:hAnsi="Calibri" w:cs="Calibri"/>
                <w:sz w:val="22"/>
                <w:szCs w:val="22"/>
              </w:rPr>
              <w:t>j</w:t>
            </w:r>
            <w:proofErr w:type="spellEnd"/>
            <w:r w:rsidRPr="00462A25">
              <w:rPr>
                <w:rStyle w:val="normaltextrun"/>
                <w:rFonts w:ascii="Calibri" w:hAnsi="Calibri" w:cs="Calibri"/>
                <w:sz w:val="22"/>
                <w:szCs w:val="22"/>
              </w:rPr>
              <w:t xml:space="preserve"> = [1 – (RTE / RTEG)] x (</w:t>
            </w:r>
            <w:proofErr w:type="spellStart"/>
            <w:r w:rsidRPr="00462A25">
              <w:rPr>
                <w:rStyle w:val="normaltextrun"/>
                <w:rFonts w:ascii="Calibri" w:hAnsi="Calibri" w:cs="Calibri"/>
                <w:sz w:val="22"/>
                <w:szCs w:val="22"/>
              </w:rPr>
              <w:t>MWh</w:t>
            </w:r>
            <w:r w:rsidRPr="00462A25">
              <w:rPr>
                <w:rStyle w:val="normaltextrun"/>
                <w:rFonts w:ascii="Calibri" w:hAnsi="Calibri" w:cs="Calibri"/>
                <w:sz w:val="17"/>
                <w:szCs w:val="17"/>
                <w:vertAlign w:val="subscript"/>
              </w:rPr>
              <w:t>actual</w:t>
            </w:r>
            <w:proofErr w:type="spellEnd"/>
            <w:r w:rsidRPr="00462A25">
              <w:rPr>
                <w:rStyle w:val="normaltextrun"/>
                <w:rFonts w:ascii="Calibri" w:hAnsi="Calibri" w:cs="Calibri"/>
                <w:sz w:val="22"/>
                <w:szCs w:val="22"/>
              </w:rPr>
              <w:t xml:space="preserve"> x </w:t>
            </w:r>
            <w:r w:rsidR="00502349" w:rsidRPr="00462A25">
              <w:rPr>
                <w:rStyle w:val="normaltextrun"/>
                <w:rFonts w:ascii="Calibri" w:hAnsi="Calibri" w:cs="Calibri"/>
                <w:sz w:val="22"/>
                <w:szCs w:val="22"/>
              </w:rPr>
              <w:t>Average DA Mid-C Peak Price</w:t>
            </w:r>
            <w:r w:rsidR="00502349" w:rsidRPr="00462A25">
              <w:rPr>
                <w:rStyle w:val="eop"/>
                <w:rFonts w:ascii="Calibri" w:hAnsi="Calibri" w:cs="Calibri"/>
                <w:sz w:val="22"/>
                <w:szCs w:val="22"/>
              </w:rPr>
              <w:t> </w:t>
            </w:r>
            <w:r w:rsidR="00502349" w:rsidRPr="00462A25">
              <w:rPr>
                <w:rStyle w:val="normaltextrun"/>
                <w:rFonts w:ascii="Calibri" w:hAnsi="Calibri" w:cs="Calibri"/>
                <w:sz w:val="22"/>
                <w:szCs w:val="22"/>
              </w:rPr>
              <w:t xml:space="preserve"> </w:t>
            </w:r>
            <w:r w:rsidRPr="00462A25">
              <w:rPr>
                <w:rStyle w:val="normaltextrun"/>
                <w:rFonts w:ascii="Calibri" w:hAnsi="Calibri" w:cs="Calibri"/>
                <w:sz w:val="22"/>
                <w:szCs w:val="22"/>
              </w:rPr>
              <w:t>x 1.3) </w:t>
            </w:r>
            <w:r w:rsidRPr="00462A25">
              <w:rPr>
                <w:rStyle w:val="eop"/>
                <w:rFonts w:ascii="Calibri" w:hAnsi="Calibri" w:cs="Calibri"/>
                <w:sz w:val="22"/>
                <w:szCs w:val="22"/>
              </w:rPr>
              <w:t> </w:t>
            </w:r>
          </w:p>
          <w:p w14:paraId="25CD66D7" w14:textId="77777777" w:rsidR="00F95FBA" w:rsidRPr="00462A25" w:rsidRDefault="00F95FBA" w:rsidP="00F95FBA">
            <w:pPr>
              <w:pStyle w:val="paragraph"/>
              <w:spacing w:before="0" w:beforeAutospacing="0" w:after="0" w:afterAutospacing="0"/>
              <w:textAlignment w:val="baseline"/>
              <w:divId w:val="1021006767"/>
              <w:rPr>
                <w:rFonts w:ascii="Segoe UI" w:hAnsi="Segoe UI" w:cs="Segoe UI"/>
                <w:sz w:val="18"/>
                <w:szCs w:val="18"/>
              </w:rPr>
            </w:pPr>
            <w:r w:rsidRPr="00462A25">
              <w:rPr>
                <w:rStyle w:val="eop"/>
                <w:rFonts w:ascii="Calibri" w:hAnsi="Calibri" w:cs="Calibri"/>
                <w:sz w:val="22"/>
                <w:szCs w:val="22"/>
              </w:rPr>
              <w:t> </w:t>
            </w:r>
          </w:p>
          <w:p w14:paraId="53EF0605" w14:textId="77777777" w:rsidR="00F95FBA" w:rsidRPr="00462A25" w:rsidRDefault="00F95FBA" w:rsidP="00F95FBA">
            <w:pPr>
              <w:pStyle w:val="paragraph"/>
              <w:spacing w:before="0" w:beforeAutospacing="0" w:after="0" w:afterAutospacing="0"/>
              <w:textAlignment w:val="baseline"/>
              <w:divId w:val="175000557"/>
              <w:rPr>
                <w:rFonts w:ascii="Segoe UI" w:hAnsi="Segoe UI" w:cs="Segoe UI"/>
                <w:sz w:val="18"/>
                <w:szCs w:val="18"/>
              </w:rPr>
            </w:pPr>
            <w:r w:rsidRPr="00462A25">
              <w:rPr>
                <w:rStyle w:val="normaltextrun"/>
                <w:rFonts w:ascii="Calibri" w:hAnsi="Calibri" w:cs="Calibri"/>
                <w:sz w:val="22"/>
                <w:szCs w:val="22"/>
              </w:rPr>
              <w:t>RTE – Actual roundtrip efficiency determined in most recent Performance Test</w:t>
            </w:r>
            <w:r w:rsidRPr="00462A25">
              <w:rPr>
                <w:rStyle w:val="eop"/>
                <w:rFonts w:ascii="Calibri" w:hAnsi="Calibri" w:cs="Calibri"/>
                <w:sz w:val="22"/>
                <w:szCs w:val="22"/>
              </w:rPr>
              <w:t> </w:t>
            </w:r>
          </w:p>
          <w:p w14:paraId="13C6C556" w14:textId="0E209EB2" w:rsidR="00F95FBA" w:rsidRPr="00462A25" w:rsidRDefault="00F95FBA" w:rsidP="00F95FBA">
            <w:pPr>
              <w:pStyle w:val="paragraph"/>
              <w:spacing w:before="0" w:beforeAutospacing="0" w:after="0" w:afterAutospacing="0"/>
              <w:textAlignment w:val="baseline"/>
              <w:divId w:val="1331525557"/>
              <w:rPr>
                <w:rFonts w:ascii="Segoe UI" w:hAnsi="Segoe UI" w:cs="Segoe UI"/>
                <w:sz w:val="18"/>
                <w:szCs w:val="18"/>
              </w:rPr>
            </w:pPr>
            <w:r w:rsidRPr="00462A25">
              <w:rPr>
                <w:rStyle w:val="normaltextrun"/>
                <w:rFonts w:ascii="Calibri" w:hAnsi="Calibri" w:cs="Calibri"/>
                <w:sz w:val="22"/>
                <w:szCs w:val="22"/>
              </w:rPr>
              <w:t>RTEG – Guaranteed RTE</w:t>
            </w:r>
            <w:r w:rsidRPr="00462A25">
              <w:rPr>
                <w:rStyle w:val="eop"/>
                <w:rFonts w:ascii="Calibri" w:hAnsi="Calibri" w:cs="Calibri"/>
                <w:sz w:val="22"/>
                <w:szCs w:val="22"/>
              </w:rPr>
              <w:t> (defined per Contract Year)</w:t>
            </w:r>
          </w:p>
          <w:p w14:paraId="4B8D2DB6" w14:textId="77777777" w:rsidR="00F95FBA" w:rsidRPr="00462A25" w:rsidRDefault="00F95FBA" w:rsidP="00F95FBA">
            <w:pPr>
              <w:pStyle w:val="paragraph"/>
              <w:spacing w:before="0" w:beforeAutospacing="0" w:after="0" w:afterAutospacing="0"/>
              <w:textAlignment w:val="baseline"/>
              <w:divId w:val="1993439457"/>
              <w:rPr>
                <w:rFonts w:ascii="Segoe UI" w:hAnsi="Segoe UI" w:cs="Segoe UI"/>
                <w:sz w:val="18"/>
                <w:szCs w:val="18"/>
              </w:rPr>
            </w:pPr>
            <w:proofErr w:type="spellStart"/>
            <w:r w:rsidRPr="00462A25">
              <w:rPr>
                <w:rStyle w:val="normaltextrun"/>
                <w:rFonts w:ascii="Calibri" w:hAnsi="Calibri" w:cs="Calibri"/>
                <w:sz w:val="22"/>
                <w:szCs w:val="22"/>
              </w:rPr>
              <w:t>MWh</w:t>
            </w:r>
            <w:r w:rsidRPr="00462A25">
              <w:rPr>
                <w:rStyle w:val="normaltextrun"/>
                <w:rFonts w:ascii="Calibri" w:hAnsi="Calibri" w:cs="Calibri"/>
                <w:sz w:val="17"/>
                <w:szCs w:val="17"/>
                <w:vertAlign w:val="subscript"/>
              </w:rPr>
              <w:t>Actual</w:t>
            </w:r>
            <w:proofErr w:type="spellEnd"/>
            <w:r w:rsidRPr="00462A25">
              <w:rPr>
                <w:rStyle w:val="normaltextrun"/>
                <w:rFonts w:ascii="Calibri" w:hAnsi="Calibri" w:cs="Calibri"/>
                <w:sz w:val="22"/>
                <w:szCs w:val="22"/>
              </w:rPr>
              <w:t xml:space="preserve"> – Sum of Charging Energy for a month</w:t>
            </w:r>
            <w:r w:rsidRPr="00462A25">
              <w:rPr>
                <w:rStyle w:val="eop"/>
                <w:rFonts w:ascii="Calibri" w:hAnsi="Calibri" w:cs="Calibri"/>
                <w:sz w:val="22"/>
                <w:szCs w:val="22"/>
              </w:rPr>
              <w:t> </w:t>
            </w:r>
          </w:p>
          <w:p w14:paraId="2995C73C" w14:textId="283AB4AF" w:rsidR="00F95FBA" w:rsidRPr="00462A25" w:rsidRDefault="00F95FBA" w:rsidP="00F95FBA">
            <w:pPr>
              <w:pStyle w:val="paragraph"/>
              <w:spacing w:before="0" w:beforeAutospacing="0" w:after="0" w:afterAutospacing="0"/>
              <w:textAlignment w:val="baseline"/>
              <w:divId w:val="2042439319"/>
              <w:rPr>
                <w:rFonts w:ascii="Segoe UI" w:hAnsi="Segoe UI" w:cs="Segoe UI"/>
                <w:sz w:val="18"/>
                <w:szCs w:val="18"/>
              </w:rPr>
            </w:pPr>
            <w:r w:rsidRPr="00462A25">
              <w:rPr>
                <w:rStyle w:val="eop"/>
                <w:rFonts w:ascii="Calibri" w:hAnsi="Calibri" w:cs="Calibri"/>
                <w:sz w:val="22"/>
                <w:szCs w:val="22"/>
              </w:rPr>
              <w:t> </w:t>
            </w:r>
          </w:p>
        </w:tc>
      </w:tr>
      <w:tr w:rsidR="00462A25" w:rsidRPr="00462A25" w14:paraId="3DC65F7E" w14:textId="77777777" w:rsidTr="2BBB9A93">
        <w:tc>
          <w:tcPr>
            <w:tcW w:w="0" w:type="auto"/>
            <w:shd w:val="clear" w:color="auto" w:fill="auto"/>
          </w:tcPr>
          <w:p w14:paraId="3ED02871" w14:textId="77777777" w:rsidR="00F95FBA" w:rsidRPr="00462A25" w:rsidRDefault="00F95FBA" w:rsidP="00F95FBA">
            <w:pPr>
              <w:pStyle w:val="paragraph"/>
              <w:spacing w:before="0" w:beforeAutospacing="0" w:after="0" w:afterAutospacing="0"/>
              <w:textAlignment w:val="baseline"/>
              <w:divId w:val="1437092290"/>
              <w:rPr>
                <w:rFonts w:ascii="Segoe UI" w:hAnsi="Segoe UI" w:cs="Segoe UI"/>
                <w:sz w:val="18"/>
                <w:szCs w:val="18"/>
              </w:rPr>
            </w:pPr>
            <w:r w:rsidRPr="00462A25">
              <w:rPr>
                <w:rStyle w:val="normaltextrun"/>
                <w:rFonts w:ascii="Calibri" w:hAnsi="Calibri" w:cs="Calibri"/>
                <w:sz w:val="22"/>
                <w:szCs w:val="22"/>
              </w:rPr>
              <w:t>Capacity Adjustment and Discharge Spread </w:t>
            </w:r>
            <w:r w:rsidRPr="00462A25">
              <w:rPr>
                <w:rStyle w:val="eop"/>
                <w:rFonts w:ascii="Calibri" w:hAnsi="Calibri" w:cs="Calibri"/>
                <w:sz w:val="22"/>
                <w:szCs w:val="22"/>
              </w:rPr>
              <w:t> </w:t>
            </w:r>
          </w:p>
          <w:p w14:paraId="5FE50287" w14:textId="45FE0D36" w:rsidR="00F95FBA" w:rsidRPr="00462A25" w:rsidRDefault="00F95FBA" w:rsidP="00F95FBA"/>
        </w:tc>
        <w:tc>
          <w:tcPr>
            <w:tcW w:w="6820" w:type="dxa"/>
            <w:shd w:val="clear" w:color="auto" w:fill="auto"/>
          </w:tcPr>
          <w:p w14:paraId="346C31BF" w14:textId="77777777" w:rsidR="00F95FBA" w:rsidRPr="00462A25" w:rsidRDefault="00F95FBA" w:rsidP="00F95FBA">
            <w:pPr>
              <w:pStyle w:val="paragraph"/>
              <w:spacing w:before="0" w:beforeAutospacing="0" w:after="0" w:afterAutospacing="0"/>
              <w:textAlignment w:val="baseline"/>
              <w:divId w:val="146478239"/>
              <w:rPr>
                <w:rFonts w:ascii="Segoe UI" w:hAnsi="Segoe UI" w:cs="Segoe UI"/>
                <w:sz w:val="18"/>
                <w:szCs w:val="18"/>
              </w:rPr>
            </w:pPr>
            <w:r w:rsidRPr="00462A25">
              <w:rPr>
                <w:rStyle w:val="normaltextrun"/>
                <w:rFonts w:ascii="Calibri" w:hAnsi="Calibri" w:cs="Calibri"/>
                <w:sz w:val="22"/>
                <w:szCs w:val="22"/>
              </w:rPr>
              <w:t>Capacity Ratio = Effective Capacity / Contract Capacity</w:t>
            </w:r>
            <w:r w:rsidRPr="00462A25">
              <w:rPr>
                <w:rStyle w:val="eop"/>
                <w:rFonts w:ascii="Calibri" w:hAnsi="Calibri" w:cs="Calibri"/>
                <w:sz w:val="22"/>
                <w:szCs w:val="22"/>
              </w:rPr>
              <w:t> </w:t>
            </w:r>
          </w:p>
          <w:p w14:paraId="35BD4361" w14:textId="77777777" w:rsidR="00F95FBA" w:rsidRPr="00462A25" w:rsidRDefault="00F95FBA" w:rsidP="00F95FBA">
            <w:pPr>
              <w:pStyle w:val="paragraph"/>
              <w:spacing w:before="0" w:beforeAutospacing="0" w:after="0" w:afterAutospacing="0"/>
              <w:textAlignment w:val="baseline"/>
              <w:divId w:val="582884583"/>
              <w:rPr>
                <w:rFonts w:ascii="Segoe UI" w:hAnsi="Segoe UI" w:cs="Segoe UI"/>
                <w:sz w:val="18"/>
                <w:szCs w:val="18"/>
              </w:rPr>
            </w:pPr>
            <w:r w:rsidRPr="00462A25">
              <w:rPr>
                <w:rStyle w:val="eop"/>
                <w:rFonts w:ascii="Calibri" w:hAnsi="Calibri" w:cs="Calibri"/>
                <w:sz w:val="22"/>
                <w:szCs w:val="22"/>
              </w:rPr>
              <w:t> </w:t>
            </w:r>
          </w:p>
          <w:p w14:paraId="38CEB5A8" w14:textId="77777777" w:rsidR="00F95FBA" w:rsidRPr="00462A25" w:rsidRDefault="00F95FBA" w:rsidP="00F95FBA">
            <w:pPr>
              <w:pStyle w:val="paragraph"/>
              <w:spacing w:before="0" w:beforeAutospacing="0" w:after="0" w:afterAutospacing="0"/>
              <w:textAlignment w:val="baseline"/>
              <w:divId w:val="1694384804"/>
              <w:rPr>
                <w:rFonts w:ascii="Segoe UI" w:hAnsi="Segoe UI" w:cs="Segoe UI"/>
                <w:sz w:val="18"/>
                <w:szCs w:val="18"/>
              </w:rPr>
            </w:pPr>
            <w:r w:rsidRPr="00462A25">
              <w:rPr>
                <w:rStyle w:val="normaltextrun"/>
                <w:rFonts w:ascii="Calibri" w:hAnsi="Calibri" w:cs="Calibri"/>
                <w:sz w:val="22"/>
                <w:szCs w:val="22"/>
              </w:rPr>
              <w:t>CR &gt;96% - No adjustment</w:t>
            </w:r>
            <w:r w:rsidRPr="00462A25">
              <w:rPr>
                <w:rStyle w:val="eop"/>
                <w:rFonts w:ascii="Calibri" w:hAnsi="Calibri" w:cs="Calibri"/>
                <w:sz w:val="22"/>
                <w:szCs w:val="22"/>
              </w:rPr>
              <w:t> </w:t>
            </w:r>
          </w:p>
          <w:p w14:paraId="5E370307" w14:textId="38F638AD" w:rsidR="00F95FBA" w:rsidRPr="00462A25" w:rsidRDefault="00F95FBA" w:rsidP="00F95FBA">
            <w:pPr>
              <w:pStyle w:val="paragraph"/>
              <w:spacing w:before="0" w:beforeAutospacing="0" w:after="0" w:afterAutospacing="0"/>
              <w:textAlignment w:val="baseline"/>
              <w:divId w:val="1139803367"/>
              <w:rPr>
                <w:rFonts w:ascii="Segoe UI" w:hAnsi="Segoe UI" w:cs="Segoe UI"/>
                <w:sz w:val="18"/>
                <w:szCs w:val="18"/>
              </w:rPr>
            </w:pPr>
            <w:r w:rsidRPr="00462A25">
              <w:rPr>
                <w:rStyle w:val="normaltextrun"/>
                <w:rFonts w:ascii="Calibri" w:hAnsi="Calibri" w:cs="Calibri"/>
                <w:sz w:val="22"/>
                <w:szCs w:val="22"/>
              </w:rPr>
              <w:t xml:space="preserve">96&gt; CR &gt;=90% - Max(Contract Price, Monthly CONE) x Missing Capacity x </w:t>
            </w:r>
            <w:r w:rsidR="00720271">
              <w:rPr>
                <w:rStyle w:val="normaltextrun"/>
                <w:rFonts w:ascii="Calibri" w:hAnsi="Calibri" w:cs="Calibri"/>
                <w:sz w:val="22"/>
                <w:szCs w:val="22"/>
              </w:rPr>
              <w:t>1.25</w:t>
            </w:r>
            <w:r w:rsidRPr="00462A25">
              <w:rPr>
                <w:rStyle w:val="eop"/>
                <w:rFonts w:ascii="Calibri" w:hAnsi="Calibri" w:cs="Calibri"/>
                <w:sz w:val="22"/>
                <w:szCs w:val="22"/>
              </w:rPr>
              <w:t> </w:t>
            </w:r>
          </w:p>
          <w:p w14:paraId="536C61FF" w14:textId="7C14B3F0" w:rsidR="00F95FBA" w:rsidRPr="00462A25" w:rsidRDefault="00F95FBA" w:rsidP="00F95FBA">
            <w:pPr>
              <w:pStyle w:val="paragraph"/>
              <w:spacing w:before="0" w:beforeAutospacing="0" w:after="0" w:afterAutospacing="0"/>
              <w:textAlignment w:val="baseline"/>
              <w:divId w:val="1023626478"/>
              <w:rPr>
                <w:rFonts w:ascii="Segoe UI" w:hAnsi="Segoe UI" w:cs="Segoe UI"/>
                <w:sz w:val="18"/>
                <w:szCs w:val="18"/>
              </w:rPr>
            </w:pPr>
            <w:r w:rsidRPr="00462A25">
              <w:rPr>
                <w:rStyle w:val="normaltextrun"/>
                <w:rFonts w:ascii="Calibri" w:hAnsi="Calibri" w:cs="Calibri"/>
                <w:sz w:val="22"/>
                <w:szCs w:val="22"/>
              </w:rPr>
              <w:t>90&gt; CR - Max(Contract Price, Mont</w:t>
            </w:r>
            <w:r w:rsidR="00720271">
              <w:rPr>
                <w:rStyle w:val="normaltextrun"/>
                <w:rFonts w:ascii="Calibri" w:hAnsi="Calibri" w:cs="Calibri"/>
                <w:sz w:val="22"/>
                <w:szCs w:val="22"/>
              </w:rPr>
              <w:t>hly CONE) x Missing Capacity x 2.5</w:t>
            </w:r>
            <w:r w:rsidRPr="00462A25">
              <w:rPr>
                <w:rStyle w:val="eop"/>
                <w:rFonts w:ascii="Calibri" w:hAnsi="Calibri" w:cs="Calibri"/>
                <w:sz w:val="22"/>
                <w:szCs w:val="22"/>
              </w:rPr>
              <w:t> </w:t>
            </w:r>
          </w:p>
          <w:p w14:paraId="7FF851F8" w14:textId="77777777" w:rsidR="00F95FBA" w:rsidRPr="00462A25" w:rsidRDefault="00F95FBA" w:rsidP="00F95FBA">
            <w:pPr>
              <w:pStyle w:val="paragraph"/>
              <w:spacing w:before="0" w:beforeAutospacing="0" w:after="0" w:afterAutospacing="0"/>
              <w:textAlignment w:val="baseline"/>
              <w:divId w:val="1736472410"/>
              <w:rPr>
                <w:rFonts w:ascii="Segoe UI" w:hAnsi="Segoe UI" w:cs="Segoe UI"/>
                <w:sz w:val="18"/>
                <w:szCs w:val="18"/>
              </w:rPr>
            </w:pPr>
            <w:r w:rsidRPr="00462A25">
              <w:rPr>
                <w:rStyle w:val="eop"/>
                <w:rFonts w:ascii="Calibri" w:hAnsi="Calibri" w:cs="Calibri"/>
                <w:sz w:val="22"/>
                <w:szCs w:val="22"/>
              </w:rPr>
              <w:t> </w:t>
            </w:r>
          </w:p>
          <w:p w14:paraId="746D8B3B" w14:textId="77777777" w:rsidR="00F95FBA" w:rsidRPr="00462A25" w:rsidRDefault="00F95FBA" w:rsidP="00F95FBA">
            <w:pPr>
              <w:pStyle w:val="paragraph"/>
              <w:spacing w:before="0" w:beforeAutospacing="0" w:after="0" w:afterAutospacing="0"/>
              <w:textAlignment w:val="baseline"/>
              <w:divId w:val="1569421085"/>
              <w:rPr>
                <w:rFonts w:ascii="Segoe UI" w:hAnsi="Segoe UI" w:cs="Segoe UI"/>
                <w:sz w:val="18"/>
                <w:szCs w:val="18"/>
              </w:rPr>
            </w:pPr>
            <w:r w:rsidRPr="00462A25">
              <w:rPr>
                <w:rStyle w:val="normaltextrun"/>
                <w:rFonts w:ascii="Calibri" w:hAnsi="Calibri" w:cs="Calibri"/>
                <w:sz w:val="22"/>
                <w:szCs w:val="22"/>
              </w:rPr>
              <w:t>Monthly CONE – Cost of New Entry from WRAP program</w:t>
            </w:r>
            <w:r w:rsidRPr="00462A25">
              <w:rPr>
                <w:rStyle w:val="eop"/>
                <w:rFonts w:ascii="Calibri" w:hAnsi="Calibri" w:cs="Calibri"/>
                <w:sz w:val="22"/>
                <w:szCs w:val="22"/>
              </w:rPr>
              <w:t> </w:t>
            </w:r>
          </w:p>
          <w:p w14:paraId="29834541" w14:textId="77777777" w:rsidR="00F95FBA" w:rsidRPr="00462A25" w:rsidRDefault="00F95FBA" w:rsidP="00F95FBA">
            <w:pPr>
              <w:pStyle w:val="paragraph"/>
              <w:spacing w:before="0" w:beforeAutospacing="0" w:after="0" w:afterAutospacing="0"/>
              <w:textAlignment w:val="baseline"/>
              <w:divId w:val="1117408578"/>
              <w:rPr>
                <w:rFonts w:ascii="Segoe UI" w:hAnsi="Segoe UI" w:cs="Segoe UI"/>
                <w:sz w:val="18"/>
                <w:szCs w:val="18"/>
              </w:rPr>
            </w:pPr>
            <w:r w:rsidRPr="00462A25">
              <w:rPr>
                <w:rStyle w:val="eop"/>
                <w:rFonts w:ascii="Calibri" w:hAnsi="Calibri" w:cs="Calibri"/>
                <w:sz w:val="22"/>
                <w:szCs w:val="22"/>
              </w:rPr>
              <w:t> </w:t>
            </w:r>
          </w:p>
          <w:p w14:paraId="2C049AF7" w14:textId="77777777" w:rsidR="00F95FBA" w:rsidRPr="00462A25" w:rsidRDefault="00F95FBA" w:rsidP="00F95FBA">
            <w:pPr>
              <w:pStyle w:val="paragraph"/>
              <w:spacing w:before="0" w:beforeAutospacing="0" w:after="0" w:afterAutospacing="0"/>
              <w:textAlignment w:val="baseline"/>
              <w:divId w:val="2082553837"/>
              <w:rPr>
                <w:rFonts w:ascii="Segoe UI" w:hAnsi="Segoe UI" w:cs="Segoe UI"/>
                <w:sz w:val="18"/>
                <w:szCs w:val="18"/>
              </w:rPr>
            </w:pPr>
            <w:r w:rsidRPr="00462A25">
              <w:rPr>
                <w:rStyle w:val="normaltextrun"/>
                <w:rFonts w:ascii="Calibri" w:hAnsi="Calibri" w:cs="Calibri"/>
                <w:sz w:val="22"/>
                <w:szCs w:val="22"/>
              </w:rPr>
              <w:t>If actual energy delivery is +/-2% different from Discharge Notice in an hour, Service Provider shall pay per hour:</w:t>
            </w:r>
            <w:r w:rsidRPr="00462A25">
              <w:rPr>
                <w:rStyle w:val="eop"/>
                <w:rFonts w:ascii="Calibri" w:hAnsi="Calibri" w:cs="Calibri"/>
                <w:sz w:val="22"/>
                <w:szCs w:val="22"/>
              </w:rPr>
              <w:t> </w:t>
            </w:r>
          </w:p>
          <w:p w14:paraId="294F553F" w14:textId="77777777" w:rsidR="00F95FBA" w:rsidRPr="00462A25" w:rsidRDefault="00F95FBA" w:rsidP="00502349">
            <w:pPr>
              <w:rPr>
                <w:rStyle w:val="eop"/>
                <w:rFonts w:ascii="Calibri" w:hAnsi="Calibri" w:cs="Calibri"/>
              </w:rPr>
            </w:pPr>
            <w:r w:rsidRPr="00462A25">
              <w:rPr>
                <w:rStyle w:val="normaltextrun"/>
                <w:rFonts w:ascii="Calibri" w:hAnsi="Calibri" w:cs="Calibri"/>
              </w:rPr>
              <w:t>Discharge Spread Adjustment = (Discharge Notice – Actual Discharge) x (Average DA Mid-C Peak</w:t>
            </w:r>
            <w:r w:rsidR="00502349" w:rsidRPr="00462A25">
              <w:rPr>
                <w:rStyle w:val="normaltextrun"/>
                <w:rFonts w:ascii="Calibri" w:hAnsi="Calibri" w:cs="Calibri"/>
              </w:rPr>
              <w:t xml:space="preserve"> x 1.3</w:t>
            </w:r>
            <w:r w:rsidRPr="00462A25">
              <w:rPr>
                <w:rStyle w:val="normaltextrun"/>
                <w:rFonts w:ascii="Calibri" w:hAnsi="Calibri" w:cs="Calibri"/>
              </w:rPr>
              <w:t>)</w:t>
            </w:r>
            <w:r w:rsidRPr="00462A25">
              <w:rPr>
                <w:rStyle w:val="eop"/>
                <w:rFonts w:ascii="Calibri" w:hAnsi="Calibri" w:cs="Calibri"/>
              </w:rPr>
              <w:t> </w:t>
            </w:r>
          </w:p>
          <w:p w14:paraId="6F9EE50F" w14:textId="074CD335" w:rsidR="00C56192" w:rsidRPr="00462A25" w:rsidRDefault="00C56192" w:rsidP="00502349"/>
        </w:tc>
      </w:tr>
      <w:tr w:rsidR="00462A25" w:rsidRPr="00462A25" w14:paraId="370BB80B" w14:textId="77777777" w:rsidTr="2BBB9A93">
        <w:tc>
          <w:tcPr>
            <w:tcW w:w="0" w:type="auto"/>
            <w:shd w:val="clear" w:color="auto" w:fill="auto"/>
          </w:tcPr>
          <w:p w14:paraId="6283B1E9" w14:textId="795146C6" w:rsidR="00F95FBA" w:rsidRPr="00462A25" w:rsidRDefault="00F95FBA" w:rsidP="00462A25">
            <w:pPr>
              <w:pStyle w:val="paragraph"/>
              <w:spacing w:before="0" w:beforeAutospacing="0" w:after="0" w:afterAutospacing="0"/>
              <w:textAlignment w:val="baseline"/>
              <w:divId w:val="173232553"/>
              <w:rPr>
                <w:rFonts w:ascii="Segoe UI" w:hAnsi="Segoe UI" w:cs="Segoe UI"/>
                <w:sz w:val="18"/>
                <w:szCs w:val="18"/>
              </w:rPr>
            </w:pPr>
            <w:r w:rsidRPr="00462A25">
              <w:rPr>
                <w:rStyle w:val="normaltextrun"/>
                <w:rFonts w:ascii="Calibri" w:hAnsi="Calibri" w:cs="Calibri"/>
                <w:sz w:val="22"/>
                <w:szCs w:val="22"/>
              </w:rPr>
              <w:t>Sharing Event Liquidated Damages (WRAP)</w:t>
            </w:r>
            <w:r w:rsidRPr="00462A25">
              <w:rPr>
                <w:rStyle w:val="eop"/>
                <w:rFonts w:ascii="Calibri" w:hAnsi="Calibri" w:cs="Calibri"/>
                <w:sz w:val="22"/>
                <w:szCs w:val="22"/>
              </w:rPr>
              <w:t> </w:t>
            </w:r>
          </w:p>
        </w:tc>
        <w:tc>
          <w:tcPr>
            <w:tcW w:w="6820" w:type="dxa"/>
            <w:shd w:val="clear" w:color="auto" w:fill="auto"/>
          </w:tcPr>
          <w:p w14:paraId="2AD29FEC" w14:textId="77777777" w:rsidR="00F95FBA" w:rsidRPr="00462A25" w:rsidRDefault="00F95FBA" w:rsidP="00F95FBA">
            <w:pPr>
              <w:pStyle w:val="paragraph"/>
              <w:spacing w:before="0" w:beforeAutospacing="0" w:after="0" w:afterAutospacing="0"/>
              <w:textAlignment w:val="baseline"/>
              <w:divId w:val="1766145080"/>
              <w:rPr>
                <w:rFonts w:ascii="Segoe UI" w:hAnsi="Segoe UI" w:cs="Segoe UI"/>
                <w:sz w:val="18"/>
                <w:szCs w:val="18"/>
              </w:rPr>
            </w:pPr>
            <w:r w:rsidRPr="00462A25">
              <w:rPr>
                <w:rStyle w:val="normaltextrun"/>
                <w:rFonts w:ascii="Calibri" w:hAnsi="Calibri" w:cs="Calibri"/>
                <w:sz w:val="22"/>
                <w:szCs w:val="22"/>
              </w:rPr>
              <w:t xml:space="preserve">PSE assigned Energy Delivery Failure </w:t>
            </w:r>
            <w:r w:rsidRPr="00462A25">
              <w:rPr>
                <w:rStyle w:val="normaltextrun"/>
                <w:rFonts w:ascii="Calibri" w:hAnsi="Calibri" w:cs="Calibri"/>
                <w:i/>
                <w:iCs/>
                <w:sz w:val="22"/>
                <w:szCs w:val="22"/>
              </w:rPr>
              <w:t>and</w:t>
            </w:r>
            <w:r w:rsidRPr="00462A25">
              <w:rPr>
                <w:rStyle w:val="normaltextrun"/>
                <w:rFonts w:ascii="Calibri" w:hAnsi="Calibri" w:cs="Calibri"/>
                <w:sz w:val="22"/>
                <w:szCs w:val="22"/>
              </w:rPr>
              <w:t xml:space="preserve"> project fails to deliver consistent with Discharge Notice</w:t>
            </w:r>
            <w:r w:rsidRPr="00462A25">
              <w:rPr>
                <w:rStyle w:val="eop"/>
                <w:rFonts w:ascii="Calibri" w:hAnsi="Calibri" w:cs="Calibri"/>
                <w:sz w:val="22"/>
                <w:szCs w:val="22"/>
              </w:rPr>
              <w:t> </w:t>
            </w:r>
          </w:p>
          <w:p w14:paraId="2C7399D0" w14:textId="77777777" w:rsidR="00F95FBA" w:rsidRPr="00462A25" w:rsidRDefault="00F95FBA" w:rsidP="00502349">
            <w:pPr>
              <w:rPr>
                <w:rStyle w:val="normaltextrun"/>
                <w:rFonts w:ascii="Calibri" w:hAnsi="Calibri" w:cs="Calibri"/>
              </w:rPr>
            </w:pPr>
            <w:r w:rsidRPr="00462A25">
              <w:rPr>
                <w:rStyle w:val="scxw126565978"/>
                <w:rFonts w:ascii="Calibri" w:hAnsi="Calibri" w:cs="Calibri"/>
              </w:rPr>
              <w:t> </w:t>
            </w:r>
            <w:r w:rsidRPr="00462A25">
              <w:rPr>
                <w:rFonts w:ascii="Calibri" w:hAnsi="Calibri" w:cs="Calibri"/>
              </w:rPr>
              <w:br/>
            </w:r>
            <w:r w:rsidRPr="00462A25">
              <w:rPr>
                <w:rStyle w:val="normaltextrun"/>
                <w:rFonts w:ascii="Calibri" w:hAnsi="Calibri" w:cs="Calibri"/>
              </w:rPr>
              <w:t>(</w:t>
            </w:r>
            <w:r w:rsidR="00502349" w:rsidRPr="00462A25">
              <w:rPr>
                <w:rStyle w:val="normaltextrun"/>
                <w:rFonts w:ascii="Calibri" w:hAnsi="Calibri" w:cs="Calibri"/>
              </w:rPr>
              <w:t>Average DA Mid-C Peak x 1.3</w:t>
            </w:r>
            <w:r w:rsidRPr="00462A25">
              <w:rPr>
                <w:rStyle w:val="normaltextrun"/>
                <w:rFonts w:ascii="Calibri" w:hAnsi="Calibri" w:cs="Calibri"/>
              </w:rPr>
              <w:t>) x (Discharge Notice – Actual Discharge)</w:t>
            </w:r>
          </w:p>
          <w:p w14:paraId="714D2184" w14:textId="6386262E" w:rsidR="00C56192" w:rsidRPr="00462A25" w:rsidRDefault="00C56192" w:rsidP="00502349"/>
        </w:tc>
      </w:tr>
      <w:tr w:rsidR="00FE4099" w:rsidRPr="00FE4099" w14:paraId="4AF3181E" w14:textId="77777777" w:rsidTr="2BBB9A93">
        <w:trPr>
          <w:trHeight w:val="300"/>
        </w:trPr>
        <w:tc>
          <w:tcPr>
            <w:tcW w:w="2895" w:type="dxa"/>
            <w:hideMark/>
          </w:tcPr>
          <w:p w14:paraId="5C4148E3" w14:textId="68618C94" w:rsidR="00FE4099" w:rsidRPr="00FE4099" w:rsidRDefault="00FE4099" w:rsidP="00FE4099">
            <w:pPr>
              <w:textAlignment w:val="baseline"/>
              <w:rPr>
                <w:rFonts w:ascii="Segoe UI" w:eastAsia="Times New Roman" w:hAnsi="Segoe UI" w:cs="Segoe UI"/>
                <w:sz w:val="18"/>
                <w:szCs w:val="18"/>
              </w:rPr>
            </w:pPr>
            <w:r w:rsidRPr="0A9C7578">
              <w:rPr>
                <w:rFonts w:ascii="Calibri" w:eastAsia="Times New Roman" w:hAnsi="Calibri" w:cs="Calibri"/>
              </w:rPr>
              <w:t>Credit Support </w:t>
            </w:r>
          </w:p>
        </w:tc>
        <w:tc>
          <w:tcPr>
            <w:tcW w:w="6820" w:type="dxa"/>
            <w:hideMark/>
          </w:tcPr>
          <w:p w14:paraId="4F961105" w14:textId="43452F6F" w:rsidR="00FE4099" w:rsidRPr="00FE4099" w:rsidRDefault="00FE4099" w:rsidP="00FE4099">
            <w:pPr>
              <w:textAlignment w:val="baseline"/>
              <w:rPr>
                <w:rFonts w:ascii="Segoe UI" w:eastAsia="Times New Roman" w:hAnsi="Segoe UI" w:cs="Segoe UI"/>
                <w:sz w:val="18"/>
                <w:szCs w:val="18"/>
              </w:rPr>
            </w:pPr>
            <w:r w:rsidRPr="0A9C7578">
              <w:rPr>
                <w:rFonts w:ascii="Calibri" w:eastAsia="Times New Roman" w:hAnsi="Calibri" w:cs="Calibri"/>
              </w:rPr>
              <w:t>Seller to provide credit support in the form of either a) a parental guarantee with investment grade credit rating or otherwise b) credit support in the form of a letter of credit equal to $</w:t>
            </w:r>
            <w:r w:rsidR="45AA8D3A" w:rsidRPr="0A9C7578">
              <w:rPr>
                <w:rFonts w:ascii="Calibri" w:eastAsia="Times New Roman" w:hAnsi="Calibri" w:cs="Calibri"/>
              </w:rPr>
              <w:t>100</w:t>
            </w:r>
            <w:r w:rsidRPr="0A9C7578">
              <w:rPr>
                <w:rFonts w:ascii="Calibri" w:eastAsia="Times New Roman" w:hAnsi="Calibri" w:cs="Calibri"/>
              </w:rPr>
              <w:t>,000/MW</w:t>
            </w:r>
            <w:r w:rsidRPr="0A9C7578">
              <w:rPr>
                <w:rFonts w:ascii="Calibri" w:eastAsia="Times New Roman" w:hAnsi="Calibri" w:cs="Calibri"/>
                <w:sz w:val="17"/>
                <w:szCs w:val="17"/>
                <w:vertAlign w:val="subscript"/>
              </w:rPr>
              <w:t>AC</w:t>
            </w:r>
            <w:r w:rsidRPr="0A9C7578">
              <w:rPr>
                <w:rFonts w:ascii="Calibri" w:eastAsia="Times New Roman" w:hAnsi="Calibri" w:cs="Calibri"/>
              </w:rPr>
              <w:t xml:space="preserve"> </w:t>
            </w:r>
            <w:r w:rsidRPr="0A9C7578">
              <w:rPr>
                <w:rFonts w:ascii="Calibri" w:eastAsia="Times New Roman" w:hAnsi="Calibri" w:cs="Calibri"/>
                <w:i/>
                <w:iCs/>
              </w:rPr>
              <w:t>plus</w:t>
            </w:r>
            <w:r w:rsidRPr="0A9C7578">
              <w:rPr>
                <w:rFonts w:ascii="Calibri" w:eastAsia="Times New Roman" w:hAnsi="Calibri" w:cs="Calibri"/>
              </w:rPr>
              <w:t xml:space="preserve"> maximum delay LDs at $</w:t>
            </w:r>
            <w:r w:rsidR="32FAEEBE" w:rsidRPr="0A9C7578">
              <w:rPr>
                <w:rFonts w:ascii="Calibri" w:eastAsia="Times New Roman" w:hAnsi="Calibri" w:cs="Calibri"/>
              </w:rPr>
              <w:t>5</w:t>
            </w:r>
            <w:r w:rsidRPr="0A9C7578">
              <w:rPr>
                <w:rFonts w:ascii="Calibri" w:eastAsia="Times New Roman" w:hAnsi="Calibri" w:cs="Calibri"/>
              </w:rPr>
              <w:t>00/day/per MW</w:t>
            </w:r>
            <w:r w:rsidRPr="0A9C7578">
              <w:rPr>
                <w:rFonts w:ascii="Calibri" w:eastAsia="Times New Roman" w:hAnsi="Calibri" w:cs="Calibri"/>
                <w:sz w:val="17"/>
                <w:szCs w:val="17"/>
                <w:vertAlign w:val="subscript"/>
              </w:rPr>
              <w:t>AC</w:t>
            </w:r>
            <w:r w:rsidRPr="0A9C7578">
              <w:rPr>
                <w:rFonts w:ascii="Calibri" w:eastAsia="Times New Roman" w:hAnsi="Calibri" w:cs="Calibri"/>
              </w:rPr>
              <w:t xml:space="preserve"> up to 180 days. </w:t>
            </w:r>
          </w:p>
          <w:p w14:paraId="4B17BD84" w14:textId="77777777" w:rsidR="00FE4099" w:rsidRPr="00FE4099" w:rsidRDefault="00FE4099" w:rsidP="00FE4099">
            <w:pPr>
              <w:textAlignment w:val="baseline"/>
              <w:rPr>
                <w:rFonts w:ascii="Segoe UI" w:eastAsia="Times New Roman" w:hAnsi="Segoe UI" w:cs="Segoe UI"/>
                <w:sz w:val="18"/>
                <w:szCs w:val="18"/>
              </w:rPr>
            </w:pPr>
            <w:r w:rsidRPr="0A9C7578">
              <w:rPr>
                <w:rFonts w:ascii="Calibri" w:eastAsia="Times New Roman" w:hAnsi="Calibri" w:cs="Calibri"/>
              </w:rPr>
              <w:t> </w:t>
            </w:r>
          </w:p>
          <w:p w14:paraId="3680CB0D" w14:textId="77777777" w:rsidR="00FE4099" w:rsidRDefault="00FE4099" w:rsidP="00FE4099">
            <w:pPr>
              <w:textAlignment w:val="baseline"/>
              <w:rPr>
                <w:rFonts w:ascii="Calibri" w:eastAsia="Times New Roman" w:hAnsi="Calibri" w:cs="Calibri"/>
              </w:rPr>
            </w:pPr>
            <w:r w:rsidRPr="0A9C7578">
              <w:rPr>
                <w:rFonts w:ascii="Calibri" w:eastAsia="Times New Roman" w:hAnsi="Calibri" w:cs="Calibri"/>
              </w:rPr>
              <w:t>Commencing with COD and throughout Term, Seller shall maintain Credit Support of $100,000 per MW</w:t>
            </w:r>
            <w:r w:rsidRPr="0A9C7578">
              <w:rPr>
                <w:rFonts w:ascii="Calibri" w:eastAsia="Times New Roman" w:hAnsi="Calibri" w:cs="Calibri"/>
                <w:sz w:val="17"/>
                <w:szCs w:val="17"/>
                <w:vertAlign w:val="subscript"/>
              </w:rPr>
              <w:t>AC</w:t>
            </w:r>
            <w:r w:rsidRPr="0A9C7578">
              <w:rPr>
                <w:rFonts w:ascii="Calibri" w:eastAsia="Times New Roman" w:hAnsi="Calibri" w:cs="Calibri"/>
              </w:rPr>
              <w:t xml:space="preserve"> of Final Nameplate Capacity </w:t>
            </w:r>
          </w:p>
          <w:p w14:paraId="68CE3C7B" w14:textId="4200DF3C" w:rsidR="00FE4099" w:rsidRPr="00FE4099" w:rsidRDefault="00FE4099" w:rsidP="00FE4099">
            <w:pPr>
              <w:textAlignment w:val="baseline"/>
              <w:rPr>
                <w:rFonts w:ascii="Segoe UI" w:eastAsia="Times New Roman" w:hAnsi="Segoe UI" w:cs="Segoe UI"/>
                <w:sz w:val="18"/>
                <w:szCs w:val="18"/>
              </w:rPr>
            </w:pPr>
          </w:p>
        </w:tc>
      </w:tr>
      <w:tr w:rsidR="00462A25" w:rsidRPr="00462A25" w14:paraId="357C10CB" w14:textId="77777777" w:rsidTr="2BBB9A93">
        <w:tc>
          <w:tcPr>
            <w:tcW w:w="0" w:type="auto"/>
            <w:shd w:val="clear" w:color="auto" w:fill="auto"/>
            <w:vAlign w:val="center"/>
          </w:tcPr>
          <w:p w14:paraId="21B1A8DB" w14:textId="446A8FED" w:rsidR="00F95FBA" w:rsidRPr="00462A25" w:rsidRDefault="00F95FBA" w:rsidP="00F95FBA">
            <w:r w:rsidRPr="00462A25">
              <w:t>Labor</w:t>
            </w:r>
          </w:p>
        </w:tc>
        <w:tc>
          <w:tcPr>
            <w:tcW w:w="6820" w:type="dxa"/>
            <w:shd w:val="clear" w:color="auto" w:fill="auto"/>
          </w:tcPr>
          <w:p w14:paraId="37A79E45" w14:textId="30CCCBE9" w:rsidR="00F95FBA" w:rsidRPr="00462A25" w:rsidRDefault="00F95FBA" w:rsidP="00F95FBA">
            <w:r>
              <w:t>Service Provider shall (</w:t>
            </w:r>
            <w:proofErr w:type="spellStart"/>
            <w:r>
              <w:t>i</w:t>
            </w:r>
            <w:proofErr w:type="spellEnd"/>
            <w:r>
              <w:t>) satisfy the Prevailing Wage Requirements and Apprenticeship Requirements applicable to the Project and (ii) execute an engineering, procurement and construction (“EPC”) contract for the Project that Washington Administrative Code, Title 296, Chapter 140 (“WAC 296-140”), which requires that the EPC contractor utilize a Project Labor Agreement, Community Workforce Agreement or Collective Bargaining Agreement, as applicable, in a reasonable and customary form, for major construction activities associated with the construction of the Project, and (iii) satisfy the requirements of Washington House Bill 1589 (“HB 1589”) as related to the Project.</w:t>
            </w:r>
          </w:p>
        </w:tc>
      </w:tr>
      <w:tr w:rsidR="00462A25" w:rsidRPr="00462A25" w14:paraId="1E8D6222" w14:textId="5650AF9A" w:rsidTr="2BBB9A93">
        <w:tc>
          <w:tcPr>
            <w:tcW w:w="0" w:type="auto"/>
            <w:vAlign w:val="center"/>
          </w:tcPr>
          <w:p w14:paraId="579BFE0E" w14:textId="5F07A23E" w:rsidR="00F95FBA" w:rsidRPr="00462A25" w:rsidRDefault="00F95FBA" w:rsidP="00F95FBA">
            <w:r w:rsidRPr="00462A25">
              <w:t>Assignment by Service Provider</w:t>
            </w:r>
          </w:p>
        </w:tc>
        <w:tc>
          <w:tcPr>
            <w:tcW w:w="6820" w:type="dxa"/>
          </w:tcPr>
          <w:p w14:paraId="166E3FAC" w14:textId="120CC940" w:rsidR="00F95FBA" w:rsidRPr="00462A25" w:rsidRDefault="00F95FBA" w:rsidP="00F95FBA">
            <w:r w:rsidRPr="00462A25">
              <w:t>Assignee or transferee must have a minimum of 3 years’ experience in BESS operation, including owning, controlling or operating a minimum of 500 MW of BESS capacity, or having a long-term contractual arrangement of at least 3 years with an operator for the Project meeting such requirements.</w:t>
            </w:r>
          </w:p>
        </w:tc>
      </w:tr>
      <w:tr w:rsidR="00462A25" w:rsidRPr="00462A25" w14:paraId="0809290D" w14:textId="4F9DF22E" w:rsidTr="2BBB9A93">
        <w:tc>
          <w:tcPr>
            <w:tcW w:w="0" w:type="auto"/>
            <w:vAlign w:val="center"/>
          </w:tcPr>
          <w:p w14:paraId="30C2EB29" w14:textId="77777777" w:rsidR="00F95FBA" w:rsidRPr="00462A25" w:rsidRDefault="00F95FBA" w:rsidP="00F95FBA">
            <w:r w:rsidRPr="00462A25">
              <w:lastRenderedPageBreak/>
              <w:t>Insurance</w:t>
            </w:r>
          </w:p>
        </w:tc>
        <w:tc>
          <w:tcPr>
            <w:tcW w:w="6820" w:type="dxa"/>
          </w:tcPr>
          <w:p w14:paraId="3FCF76D6" w14:textId="58F38902" w:rsidR="00F95FBA" w:rsidRPr="00462A25" w:rsidRDefault="00F95FBA" w:rsidP="00F95FBA">
            <w:pPr>
              <w:rPr>
                <w:rFonts w:eastAsia="PMingLiU"/>
                <w:w w:val="0"/>
                <w:szCs w:val="24"/>
              </w:rPr>
            </w:pPr>
            <w:r w:rsidRPr="00462A25">
              <w:rPr>
                <w:rFonts w:eastAsia="PMingLiU"/>
                <w:w w:val="0"/>
                <w:szCs w:val="24"/>
              </w:rPr>
              <w:t>Service Provider shall maintain the following insurance:</w:t>
            </w:r>
          </w:p>
          <w:p w14:paraId="26367F80" w14:textId="77777777"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 xml:space="preserve">Worker Compensation: $1 million bodily injury by accident/disease per accident/employee </w:t>
            </w:r>
          </w:p>
          <w:p w14:paraId="3CD74478" w14:textId="7569F513"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Commercial General Liability: $1 million/occurrence, $2 million aggregate</w:t>
            </w:r>
          </w:p>
          <w:p w14:paraId="72ADDB8C" w14:textId="77777777"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Commercial Automobile Insurance: $1 million/accident</w:t>
            </w:r>
          </w:p>
          <w:p w14:paraId="28E03784" w14:textId="77777777"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Umbrella Excess Liability Coverage:  $10 million/occurrence and $10 million annual aggregate.</w:t>
            </w:r>
          </w:p>
          <w:p w14:paraId="0161CEA0" w14:textId="6BEE990D"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rPr>
              <w:t>Builders All-Risk Insurance: Minimum limit based on the total replacement cost of the Project</w:t>
            </w:r>
          </w:p>
          <w:p w14:paraId="27E92478" w14:textId="7FA83853"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All-risk Property Insurance: C</w:t>
            </w:r>
            <w:r w:rsidRPr="00462A25">
              <w:rPr>
                <w:rStyle w:val="normaltextrun"/>
                <w:shd w:val="clear" w:color="auto" w:fill="FFFFFF"/>
              </w:rPr>
              <w:t>overing physical loss or damage to the Project with minimum limits based on the total replacement cost of the Project</w:t>
            </w:r>
          </w:p>
          <w:p w14:paraId="310C80EB" w14:textId="3E8118FC"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szCs w:val="24"/>
              </w:rPr>
              <w:t xml:space="preserve">Professional Liability Insurance: </w:t>
            </w:r>
            <w:r w:rsidRPr="00462A25">
              <w:rPr>
                <w:rStyle w:val="normaltextrun"/>
                <w:shd w:val="clear" w:color="auto" w:fill="FFFFFF"/>
              </w:rPr>
              <w:t>Service Provider and/or all its contractors (including subcontractors) shall have professional lability coverage with aggregate limit at least $3,000,000.</w:t>
            </w:r>
          </w:p>
          <w:p w14:paraId="65594000" w14:textId="48599A3A" w:rsidR="00F95FBA" w:rsidRPr="00462A25" w:rsidRDefault="00F95FBA" w:rsidP="00CC1B37">
            <w:pPr>
              <w:pStyle w:val="ListParagraph"/>
              <w:numPr>
                <w:ilvl w:val="0"/>
                <w:numId w:val="24"/>
              </w:numPr>
              <w:ind w:left="248" w:hanging="180"/>
              <w:rPr>
                <w:rFonts w:eastAsia="PMingLiU"/>
                <w:w w:val="0"/>
                <w:szCs w:val="24"/>
              </w:rPr>
            </w:pPr>
            <w:r w:rsidRPr="00462A25">
              <w:rPr>
                <w:rFonts w:eastAsia="PMingLiU"/>
                <w:w w:val="0"/>
              </w:rPr>
              <w:t>Business Interruption Insurance: Covering Service Provider’s expenses resulting from full interruption for 6 calendar months and a time deductible of no more than 60 Days.</w:t>
            </w:r>
          </w:p>
          <w:p w14:paraId="7F7D6142" w14:textId="093FB7FE" w:rsidR="00F95FBA" w:rsidRPr="00462A25" w:rsidRDefault="00F95FBA" w:rsidP="00DC14B9">
            <w:pPr>
              <w:pStyle w:val="ListParagraph"/>
              <w:numPr>
                <w:ilvl w:val="0"/>
                <w:numId w:val="24"/>
              </w:numPr>
              <w:ind w:left="248" w:hanging="180"/>
              <w:rPr>
                <w:rFonts w:eastAsia="PMingLiU"/>
                <w:w w:val="0"/>
                <w:szCs w:val="24"/>
              </w:rPr>
            </w:pPr>
            <w:r w:rsidRPr="00462A25">
              <w:rPr>
                <w:rStyle w:val="normaltextrun"/>
                <w:shd w:val="clear" w:color="auto" w:fill="FFFFFF"/>
              </w:rPr>
              <w:t xml:space="preserve">Pollution liability </w:t>
            </w:r>
            <w:r w:rsidRPr="00462A25">
              <w:rPr>
                <w:rStyle w:val="findhit"/>
              </w:rPr>
              <w:t xml:space="preserve">insurance: </w:t>
            </w:r>
            <w:r w:rsidRPr="00462A25">
              <w:rPr>
                <w:rStyle w:val="normaltextrun"/>
                <w:shd w:val="clear" w:color="auto" w:fill="FFFFFF"/>
              </w:rPr>
              <w:t xml:space="preserve">covering liability arising out of activities under the </w:t>
            </w:r>
            <w:r w:rsidR="00DC14B9" w:rsidRPr="00462A25">
              <w:rPr>
                <w:rStyle w:val="normaltextrun"/>
                <w:shd w:val="clear" w:color="auto" w:fill="FFFFFF"/>
              </w:rPr>
              <w:t>Agreement</w:t>
            </w:r>
            <w:r w:rsidRPr="00462A25">
              <w:rPr>
                <w:rStyle w:val="normaltextrun"/>
                <w:shd w:val="clear" w:color="auto" w:fill="FFFFFF"/>
              </w:rPr>
              <w:t xml:space="preserve"> or required by federal, state, regional, municipal and local laws, with minimum limits $2,000,000 per occurrence, and $2,000,000 in aggregate.</w:t>
            </w:r>
          </w:p>
        </w:tc>
      </w:tr>
      <w:tr w:rsidR="35D2E2F5" w14:paraId="26F097B9" w14:textId="77777777" w:rsidTr="2BBB9A93">
        <w:trPr>
          <w:trHeight w:val="300"/>
        </w:trPr>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FC281" w14:textId="02F5B704" w:rsidR="35D2E2F5" w:rsidRDefault="35D2E2F5" w:rsidP="35D2E2F5">
            <w:r w:rsidRPr="35D2E2F5">
              <w:rPr>
                <w:rFonts w:ascii="Calibri" w:eastAsia="Calibri" w:hAnsi="Calibri" w:cs="Calibri"/>
              </w:rPr>
              <w:t>Other Material Changes</w:t>
            </w:r>
          </w:p>
        </w:tc>
        <w:tc>
          <w:tcPr>
            <w:tcW w:w="6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9204D" w14:textId="08CFC6C7" w:rsidR="35D2E2F5" w:rsidRDefault="35D2E2F5" w:rsidP="0A9C7578">
            <w:pPr>
              <w:rPr>
                <w:rFonts w:ascii="Calibri" w:eastAsia="Calibri" w:hAnsi="Calibri" w:cs="Calibri"/>
              </w:rPr>
            </w:pPr>
            <w:r w:rsidRPr="2BBB9A93">
              <w:rPr>
                <w:rFonts w:ascii="Calibri" w:eastAsia="Calibri" w:hAnsi="Calibri" w:cs="Calibri"/>
              </w:rPr>
              <w:t xml:space="preserve">Please describe any other material changes </w:t>
            </w:r>
            <w:r w:rsidR="21E1679C" w:rsidRPr="2BBB9A93">
              <w:rPr>
                <w:rFonts w:ascii="Calibri" w:eastAsia="Calibri" w:hAnsi="Calibri" w:cs="Calibri"/>
              </w:rPr>
              <w:t xml:space="preserve">made </w:t>
            </w:r>
            <w:r w:rsidR="00FE4099" w:rsidRPr="2BBB9A93">
              <w:rPr>
                <w:rFonts w:ascii="Calibri" w:eastAsia="Calibri" w:hAnsi="Calibri" w:cs="Calibri"/>
              </w:rPr>
              <w:t>to proposed standard contract.</w:t>
            </w:r>
          </w:p>
        </w:tc>
      </w:tr>
    </w:tbl>
    <w:p w14:paraId="386309B5" w14:textId="35665F2F" w:rsidR="009E579C" w:rsidRPr="00462A25" w:rsidRDefault="00720271" w:rsidP="35D2E2F5"/>
    <w:sectPr w:rsidR="009E579C" w:rsidRPr="00462A25" w:rsidSect="00581E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FCC8F" w14:textId="77777777" w:rsidR="00B214DE" w:rsidRDefault="00B214DE" w:rsidP="00B22B3D">
      <w:pPr>
        <w:spacing w:after="0" w:line="240" w:lineRule="auto"/>
      </w:pPr>
      <w:r>
        <w:separator/>
      </w:r>
    </w:p>
  </w:endnote>
  <w:endnote w:type="continuationSeparator" w:id="0">
    <w:p w14:paraId="4E5E5257" w14:textId="77777777" w:rsidR="00B214DE" w:rsidRDefault="00B214DE" w:rsidP="00B2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1053AFF" w:usb1="0000008D" w:usb2="00000000" w:usb3="00000000" w:csb0="006609FF" w:csb1="00BD5CC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CAD2" w14:textId="77777777" w:rsidR="00720271" w:rsidRDefault="00720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18FB" w14:textId="77777777" w:rsidR="003440CB" w:rsidRDefault="003440CB">
    <w:pPr>
      <w:pStyle w:val="Footer"/>
      <w:jc w:val="center"/>
      <w:rPr>
        <w:i/>
      </w:rPr>
    </w:pPr>
  </w:p>
  <w:p w14:paraId="22575501" w14:textId="055FDF95" w:rsidR="003440CB" w:rsidRPr="003440CB" w:rsidRDefault="003440CB">
    <w:pPr>
      <w:pStyle w:val="Footer"/>
      <w:jc w:val="center"/>
      <w:rPr>
        <w:i/>
      </w:rPr>
    </w:pPr>
    <w:r w:rsidRPr="003440CB">
      <w:rPr>
        <w:i/>
      </w:rPr>
      <w:t>J2-</w:t>
    </w:r>
    <w:sdt>
      <w:sdtPr>
        <w:rPr>
          <w:i/>
        </w:rPr>
        <w:id w:val="-35283415"/>
        <w:docPartObj>
          <w:docPartGallery w:val="Page Numbers (Bottom of Page)"/>
          <w:docPartUnique/>
        </w:docPartObj>
      </w:sdtPr>
      <w:sdtEndPr>
        <w:rPr>
          <w:noProof/>
        </w:rPr>
      </w:sdtEndPr>
      <w:sdtContent>
        <w:r w:rsidRPr="003440CB">
          <w:rPr>
            <w:i/>
          </w:rPr>
          <w:fldChar w:fldCharType="begin"/>
        </w:r>
        <w:r w:rsidRPr="003440CB">
          <w:rPr>
            <w:i/>
          </w:rPr>
          <w:instrText xml:space="preserve"> PAGE   \* MERGEFORMAT </w:instrText>
        </w:r>
        <w:r w:rsidRPr="003440CB">
          <w:rPr>
            <w:i/>
          </w:rPr>
          <w:fldChar w:fldCharType="separate"/>
        </w:r>
        <w:r w:rsidR="00720271">
          <w:rPr>
            <w:i/>
            <w:noProof/>
          </w:rPr>
          <w:t>1</w:t>
        </w:r>
        <w:r w:rsidRPr="003440CB">
          <w:rPr>
            <w:i/>
            <w:noProof/>
          </w:rPr>
          <w:fldChar w:fldCharType="end"/>
        </w:r>
      </w:sdtContent>
    </w:sdt>
  </w:p>
  <w:p w14:paraId="583AE71A" w14:textId="77777777" w:rsidR="003440CB" w:rsidRDefault="003440CB" w:rsidP="003440C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7CEE" w14:textId="77777777" w:rsidR="00720271" w:rsidRDefault="0072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F6E7" w14:textId="77777777" w:rsidR="00B214DE" w:rsidRDefault="00B214DE" w:rsidP="00B22B3D">
      <w:pPr>
        <w:spacing w:after="0" w:line="240" w:lineRule="auto"/>
      </w:pPr>
      <w:r>
        <w:separator/>
      </w:r>
    </w:p>
  </w:footnote>
  <w:footnote w:type="continuationSeparator" w:id="0">
    <w:p w14:paraId="4EC83584" w14:textId="77777777" w:rsidR="00B214DE" w:rsidRDefault="00B214DE" w:rsidP="00B2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6314" w14:textId="77777777" w:rsidR="00720271" w:rsidRDefault="00720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01149" w14:textId="1E52D1CD" w:rsidR="003440CB" w:rsidRPr="001B351F" w:rsidRDefault="00720271" w:rsidP="0A9C7578">
    <w:pPr>
      <w:pStyle w:val="Header"/>
      <w:jc w:val="right"/>
      <w:rPr>
        <w:b/>
        <w:bCs/>
        <w:u w:val="single"/>
      </w:rPr>
    </w:pPr>
    <w:r>
      <w:rPr>
        <w:b/>
        <w:bCs/>
        <w:u w:val="single"/>
      </w:rPr>
      <w:t xml:space="preserve">Version </w:t>
    </w:r>
    <w:r>
      <w:rPr>
        <w:b/>
        <w:bCs/>
        <w:u w:val="single"/>
      </w:rPr>
      <w:t>06/28</w:t>
    </w:r>
    <w:bookmarkStart w:id="0" w:name="_GoBack"/>
    <w:bookmarkEnd w:id="0"/>
    <w:r w:rsidR="2BBB9A93" w:rsidRPr="2BBB9A93">
      <w:rPr>
        <w:b/>
        <w:bCs/>
        <w:u w:val="single"/>
      </w:rPr>
      <w:t>/2024</w:t>
    </w:r>
  </w:p>
  <w:p w14:paraId="473B49B0" w14:textId="49E58780" w:rsidR="003440CB" w:rsidRDefault="2BBB9A93" w:rsidP="2BBB9A93">
    <w:pPr>
      <w:pStyle w:val="Header"/>
      <w:jc w:val="right"/>
      <w:rPr>
        <w:b/>
        <w:bCs/>
        <w:highlight w:val="yellow"/>
        <w:u w:val="single"/>
      </w:rPr>
    </w:pPr>
    <w:r w:rsidRPr="2BBB9A93">
      <w:rPr>
        <w:b/>
        <w:bCs/>
        <w:highlight w:val="yellow"/>
        <w:u w:val="single"/>
      </w:rPr>
      <w:t>Bidder to fill in and propose markups to term sheet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5A79" w14:textId="77777777" w:rsidR="00720271" w:rsidRDefault="00720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C62E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F5684E46"/>
    <w:name w:val="DocXtoolsCompanion_15"/>
    <w:lvl w:ilvl="0">
      <w:start w:val="1"/>
      <w:numFmt w:val="decimal"/>
      <w:suff w:val="nothing"/>
      <w:lvlText w:val="ARTICLE %1"/>
      <w:lvlJc w:val="center"/>
      <w:pPr>
        <w:ind w:firstLine="432"/>
      </w:pPr>
      <w:rPr>
        <w:rFonts w:ascii="Times New Roman Bold" w:hAnsi="Times New Roman Bold"/>
        <w:b/>
        <w:i w:val="0"/>
        <w:vanish w:val="0"/>
        <w:u w:val="none"/>
      </w:rPr>
    </w:lvl>
    <w:lvl w:ilvl="1">
      <w:start w:val="1"/>
      <w:numFmt w:val="decimal"/>
      <w:pStyle w:val="Heading2"/>
      <w:lvlText w:val="%1.%2"/>
      <w:lvlJc w:val="left"/>
      <w:pPr>
        <w:tabs>
          <w:tab w:val="num" w:pos="0"/>
        </w:tabs>
        <w:ind w:firstLine="720"/>
      </w:pPr>
      <w:rPr>
        <w:b/>
        <w:bCs w:val="0"/>
        <w:i w:val="0"/>
        <w:iCs w:val="0"/>
        <w:vanish w:val="0"/>
        <w:color w:val="auto"/>
        <w:u w:val="none"/>
        <w:vertAlign w:val="baseline"/>
      </w:rPr>
    </w:lvl>
    <w:lvl w:ilvl="2">
      <w:start w:val="1"/>
      <w:numFmt w:val="lowerLetter"/>
      <w:pStyle w:val="Heading3"/>
      <w:lvlText w:val="(%3)"/>
      <w:lvlJc w:val="left"/>
      <w:pPr>
        <w:tabs>
          <w:tab w:val="num" w:pos="0"/>
        </w:tabs>
        <w:ind w:firstLine="1440"/>
      </w:pPr>
      <w:rPr>
        <w:b w:val="0"/>
        <w:i w:val="0"/>
        <w:vanish w:val="0"/>
        <w:color w:val="auto"/>
        <w:u w:val="none"/>
      </w:rPr>
    </w:lvl>
    <w:lvl w:ilvl="3">
      <w:start w:val="1"/>
      <w:numFmt w:val="lowerRoman"/>
      <w:pStyle w:val="Heading4"/>
      <w:lvlText w:val="(%4)"/>
      <w:lvlJc w:val="left"/>
      <w:pPr>
        <w:ind w:left="1440" w:firstLine="1440"/>
      </w:pPr>
      <w:rPr>
        <w:rFonts w:ascii="Times New Roman" w:eastAsia="PMingLiU" w:hAnsi="Times New Roman" w:cs="Times New Roman"/>
        <w:strike w:val="0"/>
        <w:vanish w:val="0"/>
        <w:sz w:val="24"/>
        <w:szCs w:val="24"/>
        <w:u w:val="none"/>
      </w:rPr>
    </w:lvl>
    <w:lvl w:ilvl="4">
      <w:start w:val="1"/>
      <w:numFmt w:val="upperLetter"/>
      <w:pStyle w:val="Heading5"/>
      <w:lvlText w:val="(%5)"/>
      <w:lvlJc w:val="left"/>
      <w:pPr>
        <w:ind w:left="1440" w:firstLine="1440"/>
      </w:pPr>
      <w:rPr>
        <w:vanish w:val="0"/>
        <w:u w:val="none"/>
      </w:rPr>
    </w:lvl>
    <w:lvl w:ilvl="5">
      <w:start w:val="1"/>
      <w:numFmt w:val="decimal"/>
      <w:pStyle w:val="Heading6"/>
      <w:lvlText w:val="(%6)"/>
      <w:lvlJc w:val="left"/>
      <w:pPr>
        <w:ind w:firstLine="3600"/>
      </w:pPr>
      <w:rPr>
        <w:vanish w:val="0"/>
        <w:u w:val="none"/>
      </w:rPr>
    </w:lvl>
    <w:lvl w:ilvl="6">
      <w:start w:val="1"/>
      <w:numFmt w:val="lowerRoman"/>
      <w:pStyle w:val="Heading7"/>
      <w:lvlText w:val="%7)"/>
      <w:lvlJc w:val="right"/>
      <w:pPr>
        <w:ind w:firstLine="4680"/>
      </w:pPr>
      <w:rPr>
        <w:vanish w:val="0"/>
        <w:u w:val="none"/>
      </w:rPr>
    </w:lvl>
    <w:lvl w:ilvl="7">
      <w:start w:val="1"/>
      <w:numFmt w:val="decimal"/>
      <w:pStyle w:val="Heading8"/>
      <w:lvlText w:val="%8)"/>
      <w:lvlJc w:val="left"/>
      <w:pPr>
        <w:tabs>
          <w:tab w:val="num" w:pos="5760"/>
        </w:tabs>
        <w:ind w:firstLine="5040"/>
      </w:pPr>
      <w:rPr>
        <w:vanish w:val="0"/>
        <w:u w:val="none"/>
      </w:rPr>
    </w:lvl>
    <w:lvl w:ilvl="8">
      <w:start w:val="1"/>
      <w:numFmt w:val="lowerRoman"/>
      <w:pStyle w:val="Heading9"/>
      <w:lvlText w:val="%9."/>
      <w:lvlJc w:val="right"/>
      <w:pPr>
        <w:tabs>
          <w:tab w:val="num" w:pos="1584"/>
        </w:tabs>
        <w:ind w:left="1584" w:hanging="144"/>
      </w:pPr>
      <w:rPr>
        <w:rFonts w:ascii="Arial" w:hAnsi="Arial"/>
        <w:vanish w:val="0"/>
        <w:u w:val="none"/>
      </w:rPr>
    </w:lvl>
  </w:abstractNum>
  <w:abstractNum w:abstractNumId="2" w15:restartNumberingAfterBreak="0">
    <w:nsid w:val="00000019"/>
    <w:multiLevelType w:val="multilevel"/>
    <w:tmpl w:val="47E2056C"/>
    <w:name w:val="DocXtoolsCompanion_25"/>
    <w:lvl w:ilvl="0">
      <w:start w:val="1"/>
      <w:numFmt w:val="decimal"/>
      <w:pStyle w:val="ExAHeading1"/>
      <w:lvlText w:val="%1."/>
      <w:lvlJc w:val="left"/>
      <w:pPr>
        <w:tabs>
          <w:tab w:val="num" w:pos="1440"/>
        </w:tabs>
        <w:ind w:firstLine="720"/>
      </w:pPr>
      <w:rPr>
        <w:rFonts w:cs="Times New Roman"/>
        <w:u w:val="none"/>
      </w:rPr>
    </w:lvl>
    <w:lvl w:ilvl="1">
      <w:start w:val="1"/>
      <w:numFmt w:val="lowerLetter"/>
      <w:pStyle w:val="ExAHeading2"/>
      <w:lvlText w:val="(%2)"/>
      <w:lvlJc w:val="left"/>
      <w:pPr>
        <w:tabs>
          <w:tab w:val="num" w:pos="216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600"/>
        </w:tabs>
        <w:ind w:firstLine="2880"/>
      </w:pPr>
      <w:rPr>
        <w:rFonts w:cs="Times New Roman"/>
        <w:u w:val="none"/>
      </w:rPr>
    </w:lvl>
    <w:lvl w:ilvl="4">
      <w:start w:val="1"/>
      <w:numFmt w:val="lowerLetter"/>
      <w:pStyle w:val="ExAHeading5"/>
      <w:lvlText w:val="%5)"/>
      <w:lvlJc w:val="left"/>
      <w:pPr>
        <w:tabs>
          <w:tab w:val="num" w:pos="432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134475B"/>
    <w:multiLevelType w:val="hybridMultilevel"/>
    <w:tmpl w:val="4A5C2C5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01AA763D"/>
    <w:multiLevelType w:val="hybridMultilevel"/>
    <w:tmpl w:val="A2E269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EA20DD9"/>
    <w:multiLevelType w:val="hybridMultilevel"/>
    <w:tmpl w:val="F9D6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C608E"/>
    <w:multiLevelType w:val="hybridMultilevel"/>
    <w:tmpl w:val="EA7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3369A"/>
    <w:multiLevelType w:val="hybridMultilevel"/>
    <w:tmpl w:val="CE0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45D61"/>
    <w:multiLevelType w:val="hybridMultilevel"/>
    <w:tmpl w:val="281635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53239"/>
    <w:multiLevelType w:val="hybridMultilevel"/>
    <w:tmpl w:val="B588BCBC"/>
    <w:lvl w:ilvl="0" w:tplc="8E04A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19E4"/>
    <w:multiLevelType w:val="hybridMultilevel"/>
    <w:tmpl w:val="18BE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F6679"/>
    <w:multiLevelType w:val="hybridMultilevel"/>
    <w:tmpl w:val="EE8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15D5B"/>
    <w:multiLevelType w:val="hybridMultilevel"/>
    <w:tmpl w:val="7A50D57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15:restartNumberingAfterBreak="0">
    <w:nsid w:val="44D44808"/>
    <w:multiLevelType w:val="hybridMultilevel"/>
    <w:tmpl w:val="3224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6048B"/>
    <w:multiLevelType w:val="hybridMultilevel"/>
    <w:tmpl w:val="06D6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30388"/>
    <w:multiLevelType w:val="hybridMultilevel"/>
    <w:tmpl w:val="4D58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95DC0"/>
    <w:multiLevelType w:val="hybridMultilevel"/>
    <w:tmpl w:val="BC7C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75990"/>
    <w:multiLevelType w:val="hybridMultilevel"/>
    <w:tmpl w:val="0E12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166561"/>
    <w:multiLevelType w:val="hybridMultilevel"/>
    <w:tmpl w:val="A65803E0"/>
    <w:lvl w:ilvl="0" w:tplc="56487E4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5694C"/>
    <w:multiLevelType w:val="hybridMultilevel"/>
    <w:tmpl w:val="BE7A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01D14"/>
    <w:multiLevelType w:val="hybridMultilevel"/>
    <w:tmpl w:val="5964B6E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15:restartNumberingAfterBreak="0">
    <w:nsid w:val="6FC80E96"/>
    <w:multiLevelType w:val="hybridMultilevel"/>
    <w:tmpl w:val="7EE4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71F6A"/>
    <w:multiLevelType w:val="hybridMultilevel"/>
    <w:tmpl w:val="9796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73260"/>
    <w:multiLevelType w:val="hybridMultilevel"/>
    <w:tmpl w:val="90A6A9C6"/>
    <w:lvl w:ilvl="0" w:tplc="72187430">
      <w:start w:val="1"/>
      <w:numFmt w:val="decimal"/>
      <w:lvlText w:val="%1."/>
      <w:lvlJc w:val="left"/>
      <w:pPr>
        <w:ind w:left="720" w:hanging="360"/>
      </w:pPr>
    </w:lvl>
    <w:lvl w:ilvl="1" w:tplc="C37CF9AA">
      <w:start w:val="1"/>
      <w:numFmt w:val="lowerLetter"/>
      <w:lvlText w:val="%2."/>
      <w:lvlJc w:val="left"/>
      <w:pPr>
        <w:ind w:left="1440" w:hanging="360"/>
      </w:pPr>
    </w:lvl>
    <w:lvl w:ilvl="2" w:tplc="9B208890">
      <w:start w:val="1"/>
      <w:numFmt w:val="lowerRoman"/>
      <w:lvlText w:val="%3."/>
      <w:lvlJc w:val="right"/>
      <w:pPr>
        <w:ind w:left="2160" w:hanging="180"/>
      </w:pPr>
    </w:lvl>
    <w:lvl w:ilvl="3" w:tplc="6B2E2B78">
      <w:start w:val="1"/>
      <w:numFmt w:val="decimal"/>
      <w:lvlText w:val="%4."/>
      <w:lvlJc w:val="left"/>
      <w:pPr>
        <w:ind w:left="2880" w:hanging="360"/>
      </w:pPr>
    </w:lvl>
    <w:lvl w:ilvl="4" w:tplc="2064DD74">
      <w:start w:val="1"/>
      <w:numFmt w:val="lowerLetter"/>
      <w:lvlText w:val="%5."/>
      <w:lvlJc w:val="left"/>
      <w:pPr>
        <w:ind w:left="3600" w:hanging="360"/>
      </w:pPr>
    </w:lvl>
    <w:lvl w:ilvl="5" w:tplc="700E2724">
      <w:start w:val="1"/>
      <w:numFmt w:val="lowerRoman"/>
      <w:lvlText w:val="%6."/>
      <w:lvlJc w:val="right"/>
      <w:pPr>
        <w:ind w:left="4320" w:hanging="180"/>
      </w:pPr>
    </w:lvl>
    <w:lvl w:ilvl="6" w:tplc="F7AC3E8E">
      <w:start w:val="1"/>
      <w:numFmt w:val="decimal"/>
      <w:lvlText w:val="%7."/>
      <w:lvlJc w:val="left"/>
      <w:pPr>
        <w:ind w:left="5040" w:hanging="360"/>
      </w:pPr>
    </w:lvl>
    <w:lvl w:ilvl="7" w:tplc="5208972A">
      <w:start w:val="1"/>
      <w:numFmt w:val="lowerLetter"/>
      <w:lvlText w:val="%8."/>
      <w:lvlJc w:val="left"/>
      <w:pPr>
        <w:ind w:left="5760" w:hanging="360"/>
      </w:pPr>
    </w:lvl>
    <w:lvl w:ilvl="8" w:tplc="C24A0EB4">
      <w:start w:val="1"/>
      <w:numFmt w:val="lowerRoman"/>
      <w:lvlText w:val="%9."/>
      <w:lvlJc w:val="right"/>
      <w:pPr>
        <w:ind w:left="6480" w:hanging="180"/>
      </w:pPr>
    </w:lvl>
  </w:abstractNum>
  <w:num w:numId="1">
    <w:abstractNumId w:val="15"/>
  </w:num>
  <w:num w:numId="2">
    <w:abstractNumId w:val="18"/>
  </w:num>
  <w:num w:numId="3">
    <w:abstractNumId w:val="9"/>
  </w:num>
  <w:num w:numId="4">
    <w:abstractNumId w:val="1"/>
  </w:num>
  <w:num w:numId="5">
    <w:abstractNumId w:val="8"/>
  </w:num>
  <w:num w:numId="6">
    <w:abstractNumId w:val="2"/>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2"/>
  </w:num>
  <w:num w:numId="13">
    <w:abstractNumId w:val="11"/>
  </w:num>
  <w:num w:numId="14">
    <w:abstractNumId w:val="7"/>
  </w:num>
  <w:num w:numId="15">
    <w:abstractNumId w:val="21"/>
  </w:num>
  <w:num w:numId="16">
    <w:abstractNumId w:val="19"/>
  </w:num>
  <w:num w:numId="17">
    <w:abstractNumId w:val="14"/>
  </w:num>
  <w:num w:numId="18">
    <w:abstractNumId w:val="10"/>
  </w:num>
  <w:num w:numId="19">
    <w:abstractNumId w:val="6"/>
  </w:num>
  <w:num w:numId="20">
    <w:abstractNumId w:val="12"/>
  </w:num>
  <w:num w:numId="21">
    <w:abstractNumId w:val="3"/>
  </w:num>
  <w:num w:numId="22">
    <w:abstractNumId w:val="20"/>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A"/>
    <w:rsid w:val="00002856"/>
    <w:rsid w:val="00011149"/>
    <w:rsid w:val="00025D7A"/>
    <w:rsid w:val="00062140"/>
    <w:rsid w:val="0006774E"/>
    <w:rsid w:val="000C7208"/>
    <w:rsid w:val="000D2203"/>
    <w:rsid w:val="000F0924"/>
    <w:rsid w:val="000F0B6B"/>
    <w:rsid w:val="000F68BD"/>
    <w:rsid w:val="00150211"/>
    <w:rsid w:val="00153DD3"/>
    <w:rsid w:val="00155793"/>
    <w:rsid w:val="001832CE"/>
    <w:rsid w:val="001A7523"/>
    <w:rsid w:val="001B50D0"/>
    <w:rsid w:val="001C79E9"/>
    <w:rsid w:val="001F3529"/>
    <w:rsid w:val="00205819"/>
    <w:rsid w:val="002249E9"/>
    <w:rsid w:val="002261EE"/>
    <w:rsid w:val="002440D3"/>
    <w:rsid w:val="00265E67"/>
    <w:rsid w:val="00271C09"/>
    <w:rsid w:val="002766C2"/>
    <w:rsid w:val="002B2FE0"/>
    <w:rsid w:val="002C618B"/>
    <w:rsid w:val="003065D3"/>
    <w:rsid w:val="00307436"/>
    <w:rsid w:val="00327FB5"/>
    <w:rsid w:val="00330ADD"/>
    <w:rsid w:val="0033596A"/>
    <w:rsid w:val="003440CB"/>
    <w:rsid w:val="00360536"/>
    <w:rsid w:val="00373366"/>
    <w:rsid w:val="003E32A2"/>
    <w:rsid w:val="003E4FEB"/>
    <w:rsid w:val="00400734"/>
    <w:rsid w:val="00462A25"/>
    <w:rsid w:val="004A02F9"/>
    <w:rsid w:val="004A2DCE"/>
    <w:rsid w:val="004A4E17"/>
    <w:rsid w:val="004B2DD6"/>
    <w:rsid w:val="004C2AA4"/>
    <w:rsid w:val="004E14EF"/>
    <w:rsid w:val="004E67F5"/>
    <w:rsid w:val="004F4B3A"/>
    <w:rsid w:val="004F7EFA"/>
    <w:rsid w:val="00502349"/>
    <w:rsid w:val="005115F6"/>
    <w:rsid w:val="00513B07"/>
    <w:rsid w:val="00522B10"/>
    <w:rsid w:val="005373E0"/>
    <w:rsid w:val="00581E21"/>
    <w:rsid w:val="0058204C"/>
    <w:rsid w:val="0058609C"/>
    <w:rsid w:val="005E26BB"/>
    <w:rsid w:val="00606439"/>
    <w:rsid w:val="00626711"/>
    <w:rsid w:val="0062738B"/>
    <w:rsid w:val="00637A52"/>
    <w:rsid w:val="006D4BDE"/>
    <w:rsid w:val="006D70E1"/>
    <w:rsid w:val="007171C9"/>
    <w:rsid w:val="00720271"/>
    <w:rsid w:val="007247C6"/>
    <w:rsid w:val="00733E11"/>
    <w:rsid w:val="00752857"/>
    <w:rsid w:val="00765107"/>
    <w:rsid w:val="007670E9"/>
    <w:rsid w:val="007761B0"/>
    <w:rsid w:val="007830A0"/>
    <w:rsid w:val="007C60D9"/>
    <w:rsid w:val="007D04EF"/>
    <w:rsid w:val="007E0DA9"/>
    <w:rsid w:val="007E3761"/>
    <w:rsid w:val="007F0ABD"/>
    <w:rsid w:val="007F5906"/>
    <w:rsid w:val="007F65B3"/>
    <w:rsid w:val="008340E4"/>
    <w:rsid w:val="008941C7"/>
    <w:rsid w:val="008C2A33"/>
    <w:rsid w:val="008D71A2"/>
    <w:rsid w:val="008E3B63"/>
    <w:rsid w:val="008E479F"/>
    <w:rsid w:val="008F1013"/>
    <w:rsid w:val="008F17EC"/>
    <w:rsid w:val="00933B6D"/>
    <w:rsid w:val="009343D4"/>
    <w:rsid w:val="009915F1"/>
    <w:rsid w:val="009A6217"/>
    <w:rsid w:val="009F7125"/>
    <w:rsid w:val="00A5026D"/>
    <w:rsid w:val="00A86EF4"/>
    <w:rsid w:val="00A917BF"/>
    <w:rsid w:val="00A94BD2"/>
    <w:rsid w:val="00AA280C"/>
    <w:rsid w:val="00AA4631"/>
    <w:rsid w:val="00AA6CDE"/>
    <w:rsid w:val="00AB1F56"/>
    <w:rsid w:val="00AC2952"/>
    <w:rsid w:val="00AE5F42"/>
    <w:rsid w:val="00AF1FF6"/>
    <w:rsid w:val="00AF593B"/>
    <w:rsid w:val="00B214DE"/>
    <w:rsid w:val="00B22B3D"/>
    <w:rsid w:val="00B47FF8"/>
    <w:rsid w:val="00B513D7"/>
    <w:rsid w:val="00B93181"/>
    <w:rsid w:val="00B946EA"/>
    <w:rsid w:val="00BA67D5"/>
    <w:rsid w:val="00BB124D"/>
    <w:rsid w:val="00BB7751"/>
    <w:rsid w:val="00BC0BD7"/>
    <w:rsid w:val="00BC52AB"/>
    <w:rsid w:val="00BD164F"/>
    <w:rsid w:val="00BE0C27"/>
    <w:rsid w:val="00BF3AA9"/>
    <w:rsid w:val="00C03393"/>
    <w:rsid w:val="00C20250"/>
    <w:rsid w:val="00C56192"/>
    <w:rsid w:val="00C64FD0"/>
    <w:rsid w:val="00C91F44"/>
    <w:rsid w:val="00CA4A3A"/>
    <w:rsid w:val="00CC1097"/>
    <w:rsid w:val="00CC1B37"/>
    <w:rsid w:val="00CD5B4F"/>
    <w:rsid w:val="00CF2A1A"/>
    <w:rsid w:val="00D00157"/>
    <w:rsid w:val="00D365C6"/>
    <w:rsid w:val="00D66FA5"/>
    <w:rsid w:val="00D70B77"/>
    <w:rsid w:val="00D70D19"/>
    <w:rsid w:val="00D91DF5"/>
    <w:rsid w:val="00D936F8"/>
    <w:rsid w:val="00D93CFC"/>
    <w:rsid w:val="00DB6345"/>
    <w:rsid w:val="00DC14B9"/>
    <w:rsid w:val="00DC44A9"/>
    <w:rsid w:val="00DD53D6"/>
    <w:rsid w:val="00E07AE1"/>
    <w:rsid w:val="00E31779"/>
    <w:rsid w:val="00E43329"/>
    <w:rsid w:val="00E5767A"/>
    <w:rsid w:val="00EB640C"/>
    <w:rsid w:val="00EE795C"/>
    <w:rsid w:val="00EF4C77"/>
    <w:rsid w:val="00F1174A"/>
    <w:rsid w:val="00F148B9"/>
    <w:rsid w:val="00F320E8"/>
    <w:rsid w:val="00F40D3D"/>
    <w:rsid w:val="00F51C5E"/>
    <w:rsid w:val="00F64B70"/>
    <w:rsid w:val="00F757A9"/>
    <w:rsid w:val="00F81F2A"/>
    <w:rsid w:val="00F82073"/>
    <w:rsid w:val="00F95FBA"/>
    <w:rsid w:val="00F96CE2"/>
    <w:rsid w:val="00FB12EB"/>
    <w:rsid w:val="00FB1B2A"/>
    <w:rsid w:val="00FC3B34"/>
    <w:rsid w:val="00FD0A6B"/>
    <w:rsid w:val="00FE2286"/>
    <w:rsid w:val="00FE28F6"/>
    <w:rsid w:val="00FE4099"/>
    <w:rsid w:val="00FF4B1C"/>
    <w:rsid w:val="018AD677"/>
    <w:rsid w:val="0A9C7578"/>
    <w:rsid w:val="16929764"/>
    <w:rsid w:val="1BBB866E"/>
    <w:rsid w:val="1EF60886"/>
    <w:rsid w:val="21E1679C"/>
    <w:rsid w:val="27D57609"/>
    <w:rsid w:val="2BBB9A93"/>
    <w:rsid w:val="2E0AB9E9"/>
    <w:rsid w:val="2FDEA317"/>
    <w:rsid w:val="3175352B"/>
    <w:rsid w:val="32FAEEBE"/>
    <w:rsid w:val="33527FC4"/>
    <w:rsid w:val="35A6B894"/>
    <w:rsid w:val="35D2E2F5"/>
    <w:rsid w:val="388EC4E2"/>
    <w:rsid w:val="39633750"/>
    <w:rsid w:val="4171F8CC"/>
    <w:rsid w:val="45AA8D3A"/>
    <w:rsid w:val="54B15B8D"/>
    <w:rsid w:val="55AAC17D"/>
    <w:rsid w:val="60324573"/>
    <w:rsid w:val="61D1FD41"/>
    <w:rsid w:val="63DB61D6"/>
    <w:rsid w:val="67B37F25"/>
    <w:rsid w:val="713CF061"/>
    <w:rsid w:val="72E8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BA3FF"/>
  <w15:chartTrackingRefBased/>
  <w15:docId w15:val="{3A6CE5FA-8214-44F9-B82F-87D48E3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3" w:unhideWhenUsed="1" w:qFormat="1"/>
    <w:lsdException w:name="heading 3" w:semiHidden="1" w:uiPriority="15" w:unhideWhenUsed="1" w:qFormat="1"/>
    <w:lsdException w:name="heading 4" w:semiHidden="1" w:uiPriority="17" w:unhideWhenUsed="1" w:qFormat="1"/>
    <w:lsdException w:name="heading 5" w:semiHidden="1" w:uiPriority="19" w:unhideWhenUsed="1" w:qFormat="1"/>
    <w:lsdException w:name="heading 6" w:semiHidden="1" w:uiPriority="21" w:unhideWhenUsed="1" w:qFormat="1"/>
    <w:lsdException w:name="heading 7" w:semiHidden="1" w:uiPriority="23" w:unhideWhenUsed="1" w:qFormat="1"/>
    <w:lsdException w:name="heading 8" w:semiHidden="1" w:uiPriority="9" w:unhideWhenUsed="1" w:qFormat="1"/>
    <w:lsdException w:name="heading 9" w:semiHidden="1" w:uiPriority="2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FA"/>
  </w:style>
  <w:style w:type="paragraph" w:styleId="Heading2">
    <w:name w:val="heading 2"/>
    <w:aliases w:val="h2"/>
    <w:basedOn w:val="Normal"/>
    <w:next w:val="Normal"/>
    <w:link w:val="Heading2Char"/>
    <w:uiPriority w:val="13"/>
    <w:qFormat/>
    <w:rsid w:val="00F51C5E"/>
    <w:pPr>
      <w:widowControl w:val="0"/>
      <w:numPr>
        <w:ilvl w:val="1"/>
        <w:numId w:val="4"/>
      </w:numPr>
      <w:tabs>
        <w:tab w:val="left" w:pos="0"/>
      </w:tabs>
      <w:autoSpaceDE w:val="0"/>
      <w:autoSpaceDN w:val="0"/>
      <w:adjustRightInd w:val="0"/>
      <w:spacing w:after="240" w:line="240" w:lineRule="auto"/>
      <w:jc w:val="both"/>
      <w:outlineLvl w:val="1"/>
    </w:pPr>
    <w:rPr>
      <w:rFonts w:ascii="Times New Roman" w:eastAsiaTheme="minorEastAsia" w:hAnsi="Times New Roman" w:cs="Times New Roman"/>
      <w:b/>
      <w:i/>
      <w:sz w:val="24"/>
      <w:szCs w:val="20"/>
    </w:rPr>
  </w:style>
  <w:style w:type="paragraph" w:styleId="Heading3">
    <w:name w:val="heading 3"/>
    <w:aliases w:val="h3"/>
    <w:basedOn w:val="Normal"/>
    <w:next w:val="Normal"/>
    <w:link w:val="Heading3Char"/>
    <w:uiPriority w:val="15"/>
    <w:qFormat/>
    <w:rsid w:val="00F51C5E"/>
    <w:pPr>
      <w:widowControl w:val="0"/>
      <w:numPr>
        <w:ilvl w:val="2"/>
        <w:numId w:val="4"/>
      </w:numPr>
      <w:tabs>
        <w:tab w:val="left" w:pos="0"/>
      </w:tabs>
      <w:autoSpaceDE w:val="0"/>
      <w:autoSpaceDN w:val="0"/>
      <w:adjustRightInd w:val="0"/>
      <w:spacing w:after="240" w:line="240" w:lineRule="auto"/>
      <w:jc w:val="both"/>
      <w:outlineLvl w:val="2"/>
    </w:pPr>
    <w:rPr>
      <w:rFonts w:ascii="Times New Roman" w:eastAsiaTheme="minorEastAsia" w:hAnsi="Times New Roman" w:cs="Times New Roman"/>
      <w:sz w:val="24"/>
      <w:szCs w:val="20"/>
    </w:rPr>
  </w:style>
  <w:style w:type="paragraph" w:styleId="Heading4">
    <w:name w:val="heading 4"/>
    <w:aliases w:val="h4"/>
    <w:basedOn w:val="Normal"/>
    <w:next w:val="Normal"/>
    <w:link w:val="Heading4Char"/>
    <w:uiPriority w:val="17"/>
    <w:qFormat/>
    <w:rsid w:val="00F51C5E"/>
    <w:pPr>
      <w:widowControl w:val="0"/>
      <w:numPr>
        <w:ilvl w:val="3"/>
        <w:numId w:val="4"/>
      </w:numPr>
      <w:autoSpaceDE w:val="0"/>
      <w:autoSpaceDN w:val="0"/>
      <w:adjustRightInd w:val="0"/>
      <w:spacing w:after="240" w:line="240" w:lineRule="auto"/>
      <w:ind w:left="720"/>
      <w:jc w:val="both"/>
      <w:outlineLvl w:val="3"/>
    </w:pPr>
    <w:rPr>
      <w:rFonts w:ascii="Times New Roman" w:eastAsiaTheme="minorEastAsia" w:hAnsi="Times New Roman" w:cs="Times New Roman"/>
      <w:sz w:val="24"/>
      <w:szCs w:val="24"/>
    </w:rPr>
  </w:style>
  <w:style w:type="paragraph" w:styleId="Heading5">
    <w:name w:val="heading 5"/>
    <w:aliases w:val="h5"/>
    <w:basedOn w:val="Normal"/>
    <w:next w:val="Normal"/>
    <w:link w:val="Heading5Char"/>
    <w:uiPriority w:val="19"/>
    <w:qFormat/>
    <w:rsid w:val="00F51C5E"/>
    <w:pPr>
      <w:widowControl w:val="0"/>
      <w:numPr>
        <w:ilvl w:val="4"/>
        <w:numId w:val="4"/>
      </w:numPr>
      <w:autoSpaceDE w:val="0"/>
      <w:autoSpaceDN w:val="0"/>
      <w:adjustRightInd w:val="0"/>
      <w:spacing w:after="240" w:line="240" w:lineRule="auto"/>
      <w:jc w:val="both"/>
      <w:outlineLvl w:val="4"/>
    </w:pPr>
    <w:rPr>
      <w:rFonts w:ascii="Times New Roman" w:eastAsiaTheme="minorEastAsia" w:hAnsi="Times New Roman" w:cs="Times New Roman"/>
      <w:sz w:val="24"/>
      <w:szCs w:val="24"/>
    </w:rPr>
  </w:style>
  <w:style w:type="paragraph" w:styleId="Heading6">
    <w:name w:val="heading 6"/>
    <w:aliases w:val="h6"/>
    <w:basedOn w:val="Normal"/>
    <w:next w:val="Normal"/>
    <w:link w:val="Heading6Char"/>
    <w:uiPriority w:val="21"/>
    <w:qFormat/>
    <w:rsid w:val="00F51C5E"/>
    <w:pPr>
      <w:widowControl w:val="0"/>
      <w:numPr>
        <w:ilvl w:val="5"/>
        <w:numId w:val="4"/>
      </w:numPr>
      <w:autoSpaceDE w:val="0"/>
      <w:autoSpaceDN w:val="0"/>
      <w:adjustRightInd w:val="0"/>
      <w:spacing w:after="240" w:line="240" w:lineRule="auto"/>
      <w:jc w:val="both"/>
      <w:outlineLvl w:val="5"/>
    </w:pPr>
    <w:rPr>
      <w:rFonts w:ascii="Times New Roman" w:eastAsiaTheme="minorEastAsia" w:hAnsi="Times New Roman" w:cs="Times New Roman"/>
      <w:sz w:val="24"/>
      <w:szCs w:val="24"/>
    </w:rPr>
  </w:style>
  <w:style w:type="paragraph" w:styleId="Heading7">
    <w:name w:val="heading 7"/>
    <w:aliases w:val="h7"/>
    <w:basedOn w:val="Normal"/>
    <w:next w:val="Normal"/>
    <w:link w:val="Heading7Char"/>
    <w:uiPriority w:val="23"/>
    <w:qFormat/>
    <w:rsid w:val="00F51C5E"/>
    <w:pPr>
      <w:widowControl w:val="0"/>
      <w:numPr>
        <w:ilvl w:val="6"/>
        <w:numId w:val="4"/>
      </w:numPr>
      <w:autoSpaceDE w:val="0"/>
      <w:autoSpaceDN w:val="0"/>
      <w:adjustRightInd w:val="0"/>
      <w:spacing w:after="240" w:line="240" w:lineRule="auto"/>
      <w:jc w:val="both"/>
      <w:outlineLvl w:val="6"/>
    </w:pPr>
    <w:rPr>
      <w:rFonts w:ascii="Times New Roman" w:eastAsiaTheme="minorEastAsia" w:hAnsi="Times New Roman" w:cs="Times New Roman"/>
      <w:sz w:val="24"/>
      <w:szCs w:val="24"/>
    </w:rPr>
  </w:style>
  <w:style w:type="paragraph" w:styleId="Heading8">
    <w:name w:val="heading 8"/>
    <w:aliases w:val="h8"/>
    <w:basedOn w:val="Normal"/>
    <w:next w:val="Normal"/>
    <w:link w:val="Heading8Char"/>
    <w:uiPriority w:val="9"/>
    <w:qFormat/>
    <w:rsid w:val="00F51C5E"/>
    <w:pPr>
      <w:widowControl w:val="0"/>
      <w:numPr>
        <w:ilvl w:val="7"/>
        <w:numId w:val="4"/>
      </w:numPr>
      <w:tabs>
        <w:tab w:val="left" w:pos="5760"/>
      </w:tabs>
      <w:autoSpaceDE w:val="0"/>
      <w:autoSpaceDN w:val="0"/>
      <w:adjustRightInd w:val="0"/>
      <w:spacing w:after="240" w:line="240" w:lineRule="auto"/>
      <w:jc w:val="both"/>
      <w:outlineLvl w:val="7"/>
    </w:pPr>
    <w:rPr>
      <w:rFonts w:ascii="Times New Roman" w:eastAsiaTheme="minorEastAsia" w:hAnsi="Times New Roman" w:cs="Times New Roman"/>
      <w:sz w:val="24"/>
      <w:szCs w:val="24"/>
    </w:rPr>
  </w:style>
  <w:style w:type="paragraph" w:styleId="Heading9">
    <w:name w:val="heading 9"/>
    <w:aliases w:val="h9"/>
    <w:basedOn w:val="Normal"/>
    <w:next w:val="Normal"/>
    <w:link w:val="Heading9Char"/>
    <w:uiPriority w:val="27"/>
    <w:qFormat/>
    <w:rsid w:val="00F51C5E"/>
    <w:pPr>
      <w:widowControl w:val="0"/>
      <w:numPr>
        <w:ilvl w:val="8"/>
        <w:numId w:val="4"/>
      </w:numPr>
      <w:tabs>
        <w:tab w:val="left" w:pos="1584"/>
      </w:tabs>
      <w:autoSpaceDE w:val="0"/>
      <w:autoSpaceDN w:val="0"/>
      <w:adjustRightInd w:val="0"/>
      <w:spacing w:after="60" w:line="240" w:lineRule="auto"/>
      <w:jc w:val="both"/>
      <w:outlineLvl w:val="8"/>
    </w:pPr>
    <w:rPr>
      <w:rFonts w:ascii="Arial" w:eastAsiaTheme="minorEastAsia"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7EFA"/>
    <w:pPr>
      <w:ind w:left="720"/>
      <w:contextualSpacing/>
    </w:pPr>
  </w:style>
  <w:style w:type="paragraph" w:styleId="Header">
    <w:name w:val="header"/>
    <w:basedOn w:val="Normal"/>
    <w:link w:val="HeaderChar"/>
    <w:uiPriority w:val="99"/>
    <w:unhideWhenUsed/>
    <w:rsid w:val="004F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FA"/>
  </w:style>
  <w:style w:type="paragraph" w:styleId="Footer">
    <w:name w:val="footer"/>
    <w:basedOn w:val="Normal"/>
    <w:link w:val="FooterChar"/>
    <w:uiPriority w:val="99"/>
    <w:unhideWhenUsed/>
    <w:rsid w:val="00B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3D"/>
  </w:style>
  <w:style w:type="character" w:customStyle="1" w:styleId="ui-provider">
    <w:name w:val="ui-provider"/>
    <w:basedOn w:val="DefaultParagraphFont"/>
    <w:rsid w:val="00FE2286"/>
  </w:style>
  <w:style w:type="character" w:customStyle="1" w:styleId="Heading2Char">
    <w:name w:val="Heading 2 Char"/>
    <w:aliases w:val="h2 Char"/>
    <w:basedOn w:val="DefaultParagraphFont"/>
    <w:link w:val="Heading2"/>
    <w:uiPriority w:val="13"/>
    <w:rsid w:val="00F51C5E"/>
    <w:rPr>
      <w:rFonts w:ascii="Times New Roman" w:eastAsiaTheme="minorEastAsia" w:hAnsi="Times New Roman" w:cs="Times New Roman"/>
      <w:b/>
      <w:i/>
      <w:sz w:val="24"/>
      <w:szCs w:val="20"/>
    </w:rPr>
  </w:style>
  <w:style w:type="character" w:customStyle="1" w:styleId="Heading3Char">
    <w:name w:val="Heading 3 Char"/>
    <w:aliases w:val="h3 Char"/>
    <w:basedOn w:val="DefaultParagraphFont"/>
    <w:link w:val="Heading3"/>
    <w:uiPriority w:val="15"/>
    <w:rsid w:val="00F51C5E"/>
    <w:rPr>
      <w:rFonts w:ascii="Times New Roman" w:eastAsiaTheme="minorEastAsia" w:hAnsi="Times New Roman" w:cs="Times New Roman"/>
      <w:sz w:val="24"/>
      <w:szCs w:val="20"/>
    </w:rPr>
  </w:style>
  <w:style w:type="character" w:customStyle="1" w:styleId="Heading4Char">
    <w:name w:val="Heading 4 Char"/>
    <w:aliases w:val="h4 Char"/>
    <w:basedOn w:val="DefaultParagraphFont"/>
    <w:link w:val="Heading4"/>
    <w:uiPriority w:val="17"/>
    <w:rsid w:val="00F51C5E"/>
    <w:rPr>
      <w:rFonts w:ascii="Times New Roman" w:eastAsiaTheme="minorEastAsia" w:hAnsi="Times New Roman" w:cs="Times New Roman"/>
      <w:sz w:val="24"/>
      <w:szCs w:val="24"/>
    </w:rPr>
  </w:style>
  <w:style w:type="character" w:customStyle="1" w:styleId="Heading5Char">
    <w:name w:val="Heading 5 Char"/>
    <w:aliases w:val="h5 Char"/>
    <w:basedOn w:val="DefaultParagraphFont"/>
    <w:link w:val="Heading5"/>
    <w:uiPriority w:val="19"/>
    <w:rsid w:val="00F51C5E"/>
    <w:rPr>
      <w:rFonts w:ascii="Times New Roman" w:eastAsiaTheme="minorEastAsia" w:hAnsi="Times New Roman" w:cs="Times New Roman"/>
      <w:sz w:val="24"/>
      <w:szCs w:val="24"/>
    </w:rPr>
  </w:style>
  <w:style w:type="character" w:customStyle="1" w:styleId="Heading6Char">
    <w:name w:val="Heading 6 Char"/>
    <w:aliases w:val="h6 Char"/>
    <w:basedOn w:val="DefaultParagraphFont"/>
    <w:link w:val="Heading6"/>
    <w:uiPriority w:val="21"/>
    <w:rsid w:val="00F51C5E"/>
    <w:rPr>
      <w:rFonts w:ascii="Times New Roman" w:eastAsiaTheme="minorEastAsia" w:hAnsi="Times New Roman" w:cs="Times New Roman"/>
      <w:sz w:val="24"/>
      <w:szCs w:val="24"/>
    </w:rPr>
  </w:style>
  <w:style w:type="character" w:customStyle="1" w:styleId="Heading7Char">
    <w:name w:val="Heading 7 Char"/>
    <w:aliases w:val="h7 Char"/>
    <w:basedOn w:val="DefaultParagraphFont"/>
    <w:link w:val="Heading7"/>
    <w:uiPriority w:val="23"/>
    <w:rsid w:val="00F51C5E"/>
    <w:rPr>
      <w:rFonts w:ascii="Times New Roman" w:eastAsiaTheme="minorEastAsia" w:hAnsi="Times New Roman" w:cs="Times New Roman"/>
      <w:sz w:val="24"/>
      <w:szCs w:val="24"/>
    </w:rPr>
  </w:style>
  <w:style w:type="character" w:customStyle="1" w:styleId="Heading8Char">
    <w:name w:val="Heading 8 Char"/>
    <w:aliases w:val="h8 Char"/>
    <w:basedOn w:val="DefaultParagraphFont"/>
    <w:link w:val="Heading8"/>
    <w:uiPriority w:val="9"/>
    <w:rsid w:val="00F51C5E"/>
    <w:rPr>
      <w:rFonts w:ascii="Times New Roman" w:eastAsiaTheme="minorEastAsia" w:hAnsi="Times New Roman" w:cs="Times New Roman"/>
      <w:sz w:val="24"/>
      <w:szCs w:val="24"/>
    </w:rPr>
  </w:style>
  <w:style w:type="character" w:customStyle="1" w:styleId="Heading9Char">
    <w:name w:val="Heading 9 Char"/>
    <w:aliases w:val="h9 Char"/>
    <w:basedOn w:val="DefaultParagraphFont"/>
    <w:link w:val="Heading9"/>
    <w:uiPriority w:val="27"/>
    <w:rsid w:val="00F51C5E"/>
    <w:rPr>
      <w:rFonts w:ascii="Arial" w:eastAsiaTheme="minorEastAsia" w:hAnsi="Arial" w:cs="Times New Roman"/>
      <w:b/>
      <w:i/>
      <w:sz w:val="18"/>
      <w:szCs w:val="24"/>
    </w:rPr>
  </w:style>
  <w:style w:type="paragraph" w:customStyle="1" w:styleId="ExAHeading1">
    <w:name w:val="ExA Heading 1"/>
    <w:basedOn w:val="Normal"/>
    <w:next w:val="Normal"/>
    <w:uiPriority w:val="99"/>
    <w:rsid w:val="00400734"/>
    <w:pPr>
      <w:widowControl w:val="0"/>
      <w:numPr>
        <w:numId w:val="6"/>
      </w:numPr>
      <w:tabs>
        <w:tab w:val="left" w:pos="144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2">
    <w:name w:val="ExA Heading 2"/>
    <w:basedOn w:val="Normal"/>
    <w:next w:val="Normal"/>
    <w:uiPriority w:val="99"/>
    <w:rsid w:val="00400734"/>
    <w:pPr>
      <w:widowControl w:val="0"/>
      <w:numPr>
        <w:ilvl w:val="1"/>
        <w:numId w:val="6"/>
      </w:numPr>
      <w:tabs>
        <w:tab w:val="left" w:pos="216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3">
    <w:name w:val="ExA Heading 3"/>
    <w:basedOn w:val="Normal"/>
    <w:next w:val="Normal"/>
    <w:uiPriority w:val="99"/>
    <w:rsid w:val="00400734"/>
    <w:pPr>
      <w:widowControl w:val="0"/>
      <w:numPr>
        <w:ilvl w:val="2"/>
        <w:numId w:val="6"/>
      </w:numPr>
      <w:tabs>
        <w:tab w:val="left" w:pos="288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4">
    <w:name w:val="ExA Heading 4"/>
    <w:basedOn w:val="Normal"/>
    <w:next w:val="Normal"/>
    <w:uiPriority w:val="99"/>
    <w:rsid w:val="00400734"/>
    <w:pPr>
      <w:widowControl w:val="0"/>
      <w:numPr>
        <w:ilvl w:val="3"/>
        <w:numId w:val="6"/>
      </w:numPr>
      <w:tabs>
        <w:tab w:val="left" w:pos="360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5">
    <w:name w:val="ExA Heading 5"/>
    <w:basedOn w:val="Normal"/>
    <w:next w:val="Normal"/>
    <w:uiPriority w:val="99"/>
    <w:rsid w:val="00400734"/>
    <w:pPr>
      <w:widowControl w:val="0"/>
      <w:numPr>
        <w:ilvl w:val="4"/>
        <w:numId w:val="6"/>
      </w:numPr>
      <w:tabs>
        <w:tab w:val="left" w:pos="432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4C77"/>
    <w:rPr>
      <w:sz w:val="16"/>
      <w:szCs w:val="16"/>
    </w:rPr>
  </w:style>
  <w:style w:type="paragraph" w:styleId="CommentText">
    <w:name w:val="annotation text"/>
    <w:basedOn w:val="Normal"/>
    <w:link w:val="CommentTextChar"/>
    <w:uiPriority w:val="99"/>
    <w:semiHidden/>
    <w:unhideWhenUsed/>
    <w:rsid w:val="00EF4C77"/>
    <w:pPr>
      <w:spacing w:line="240" w:lineRule="auto"/>
    </w:pPr>
    <w:rPr>
      <w:sz w:val="20"/>
      <w:szCs w:val="20"/>
    </w:rPr>
  </w:style>
  <w:style w:type="character" w:customStyle="1" w:styleId="CommentTextChar">
    <w:name w:val="Comment Text Char"/>
    <w:basedOn w:val="DefaultParagraphFont"/>
    <w:link w:val="CommentText"/>
    <w:uiPriority w:val="99"/>
    <w:semiHidden/>
    <w:rsid w:val="00EF4C77"/>
    <w:rPr>
      <w:sz w:val="20"/>
      <w:szCs w:val="20"/>
    </w:rPr>
  </w:style>
  <w:style w:type="paragraph" w:styleId="CommentSubject">
    <w:name w:val="annotation subject"/>
    <w:basedOn w:val="CommentText"/>
    <w:next w:val="CommentText"/>
    <w:link w:val="CommentSubjectChar"/>
    <w:uiPriority w:val="99"/>
    <w:semiHidden/>
    <w:unhideWhenUsed/>
    <w:rsid w:val="00EF4C77"/>
    <w:rPr>
      <w:b/>
      <w:bCs/>
    </w:rPr>
  </w:style>
  <w:style w:type="character" w:customStyle="1" w:styleId="CommentSubjectChar">
    <w:name w:val="Comment Subject Char"/>
    <w:basedOn w:val="CommentTextChar"/>
    <w:link w:val="CommentSubject"/>
    <w:uiPriority w:val="99"/>
    <w:semiHidden/>
    <w:rsid w:val="00EF4C77"/>
    <w:rPr>
      <w:b/>
      <w:bCs/>
      <w:sz w:val="20"/>
      <w:szCs w:val="20"/>
    </w:rPr>
  </w:style>
  <w:style w:type="paragraph" w:styleId="BalloonText">
    <w:name w:val="Balloon Text"/>
    <w:basedOn w:val="Normal"/>
    <w:link w:val="BalloonTextChar"/>
    <w:uiPriority w:val="99"/>
    <w:semiHidden/>
    <w:unhideWhenUsed/>
    <w:rsid w:val="00EF4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77"/>
    <w:rPr>
      <w:rFonts w:ascii="Segoe UI" w:hAnsi="Segoe UI" w:cs="Segoe UI"/>
      <w:sz w:val="18"/>
      <w:szCs w:val="18"/>
    </w:rPr>
  </w:style>
  <w:style w:type="paragraph" w:styleId="BodyText">
    <w:name w:val="Body Text"/>
    <w:basedOn w:val="Normal"/>
    <w:link w:val="BodyTextChar"/>
    <w:uiPriority w:val="99"/>
    <w:semiHidden/>
    <w:unhideWhenUsed/>
    <w:rsid w:val="002B2FE0"/>
    <w:pPr>
      <w:spacing w:after="120"/>
    </w:pPr>
  </w:style>
  <w:style w:type="character" w:customStyle="1" w:styleId="BodyTextChar">
    <w:name w:val="Body Text Char"/>
    <w:basedOn w:val="DefaultParagraphFont"/>
    <w:link w:val="BodyText"/>
    <w:uiPriority w:val="99"/>
    <w:semiHidden/>
    <w:rsid w:val="002B2FE0"/>
  </w:style>
  <w:style w:type="paragraph" w:styleId="BodyTextFirstIndent">
    <w:name w:val="Body Text First Indent"/>
    <w:basedOn w:val="BodyText"/>
    <w:link w:val="BodyTextFirstIndentChar"/>
    <w:uiPriority w:val="99"/>
    <w:semiHidden/>
    <w:unhideWhenUsed/>
    <w:rsid w:val="002B2FE0"/>
    <w:pPr>
      <w:spacing w:after="240" w:line="240" w:lineRule="auto"/>
      <w:ind w:firstLine="720"/>
      <w:jc w:val="both"/>
    </w:pPr>
    <w:rPr>
      <w:rFonts w:ascii="Times New Roman" w:eastAsia="PMingLiU"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2B2FE0"/>
    <w:rPr>
      <w:rFonts w:ascii="Times New Roman" w:eastAsia="PMingLiU" w:hAnsi="Times New Roman" w:cs="Times New Roman"/>
      <w:sz w:val="24"/>
      <w:szCs w:val="24"/>
    </w:rPr>
  </w:style>
  <w:style w:type="character" w:customStyle="1" w:styleId="normaltextrun">
    <w:name w:val="normaltextrun"/>
    <w:basedOn w:val="DefaultParagraphFont"/>
    <w:rsid w:val="003E4FEB"/>
  </w:style>
  <w:style w:type="character" w:customStyle="1" w:styleId="findhit">
    <w:name w:val="findhit"/>
    <w:basedOn w:val="DefaultParagraphFont"/>
    <w:rsid w:val="00BC52AB"/>
  </w:style>
  <w:style w:type="paragraph" w:customStyle="1" w:styleId="paragraph">
    <w:name w:val="paragraph"/>
    <w:basedOn w:val="Normal"/>
    <w:rsid w:val="00F95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95FBA"/>
  </w:style>
  <w:style w:type="character" w:customStyle="1" w:styleId="scxw126565978">
    <w:name w:val="scxw126565978"/>
    <w:basedOn w:val="DefaultParagraphFont"/>
    <w:rsid w:val="00F95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2187">
      <w:bodyDiv w:val="1"/>
      <w:marLeft w:val="0"/>
      <w:marRight w:val="0"/>
      <w:marTop w:val="0"/>
      <w:marBottom w:val="0"/>
      <w:divBdr>
        <w:top w:val="none" w:sz="0" w:space="0" w:color="auto"/>
        <w:left w:val="none" w:sz="0" w:space="0" w:color="auto"/>
        <w:bottom w:val="none" w:sz="0" w:space="0" w:color="auto"/>
        <w:right w:val="none" w:sz="0" w:space="0" w:color="auto"/>
      </w:divBdr>
      <w:divsChild>
        <w:div w:id="913927499">
          <w:marLeft w:val="0"/>
          <w:marRight w:val="0"/>
          <w:marTop w:val="0"/>
          <w:marBottom w:val="0"/>
          <w:divBdr>
            <w:top w:val="none" w:sz="0" w:space="0" w:color="auto"/>
            <w:left w:val="none" w:sz="0" w:space="0" w:color="auto"/>
            <w:bottom w:val="none" w:sz="0" w:space="0" w:color="auto"/>
            <w:right w:val="none" w:sz="0" w:space="0" w:color="auto"/>
          </w:divBdr>
          <w:divsChild>
            <w:div w:id="1642734879">
              <w:marLeft w:val="0"/>
              <w:marRight w:val="0"/>
              <w:marTop w:val="0"/>
              <w:marBottom w:val="0"/>
              <w:divBdr>
                <w:top w:val="none" w:sz="0" w:space="0" w:color="auto"/>
                <w:left w:val="none" w:sz="0" w:space="0" w:color="auto"/>
                <w:bottom w:val="none" w:sz="0" w:space="0" w:color="auto"/>
                <w:right w:val="none" w:sz="0" w:space="0" w:color="auto"/>
              </w:divBdr>
            </w:div>
          </w:divsChild>
        </w:div>
        <w:div w:id="1524783449">
          <w:marLeft w:val="0"/>
          <w:marRight w:val="0"/>
          <w:marTop w:val="0"/>
          <w:marBottom w:val="0"/>
          <w:divBdr>
            <w:top w:val="none" w:sz="0" w:space="0" w:color="auto"/>
            <w:left w:val="none" w:sz="0" w:space="0" w:color="auto"/>
            <w:bottom w:val="none" w:sz="0" w:space="0" w:color="auto"/>
            <w:right w:val="none" w:sz="0" w:space="0" w:color="auto"/>
          </w:divBdr>
          <w:divsChild>
            <w:div w:id="2142336873">
              <w:marLeft w:val="0"/>
              <w:marRight w:val="0"/>
              <w:marTop w:val="0"/>
              <w:marBottom w:val="0"/>
              <w:divBdr>
                <w:top w:val="none" w:sz="0" w:space="0" w:color="auto"/>
                <w:left w:val="none" w:sz="0" w:space="0" w:color="auto"/>
                <w:bottom w:val="none" w:sz="0" w:space="0" w:color="auto"/>
                <w:right w:val="none" w:sz="0" w:space="0" w:color="auto"/>
              </w:divBdr>
            </w:div>
            <w:div w:id="561333421">
              <w:marLeft w:val="0"/>
              <w:marRight w:val="0"/>
              <w:marTop w:val="0"/>
              <w:marBottom w:val="0"/>
              <w:divBdr>
                <w:top w:val="none" w:sz="0" w:space="0" w:color="auto"/>
                <w:left w:val="none" w:sz="0" w:space="0" w:color="auto"/>
                <w:bottom w:val="none" w:sz="0" w:space="0" w:color="auto"/>
                <w:right w:val="none" w:sz="0" w:space="0" w:color="auto"/>
              </w:divBdr>
            </w:div>
            <w:div w:id="13423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737">
      <w:bodyDiv w:val="1"/>
      <w:marLeft w:val="0"/>
      <w:marRight w:val="0"/>
      <w:marTop w:val="0"/>
      <w:marBottom w:val="0"/>
      <w:divBdr>
        <w:top w:val="none" w:sz="0" w:space="0" w:color="auto"/>
        <w:left w:val="none" w:sz="0" w:space="0" w:color="auto"/>
        <w:bottom w:val="none" w:sz="0" w:space="0" w:color="auto"/>
        <w:right w:val="none" w:sz="0" w:space="0" w:color="auto"/>
      </w:divBdr>
    </w:div>
    <w:div w:id="975067907">
      <w:bodyDiv w:val="1"/>
      <w:marLeft w:val="0"/>
      <w:marRight w:val="0"/>
      <w:marTop w:val="0"/>
      <w:marBottom w:val="0"/>
      <w:divBdr>
        <w:top w:val="none" w:sz="0" w:space="0" w:color="auto"/>
        <w:left w:val="none" w:sz="0" w:space="0" w:color="auto"/>
        <w:bottom w:val="none" w:sz="0" w:space="0" w:color="auto"/>
        <w:right w:val="none" w:sz="0" w:space="0" w:color="auto"/>
      </w:divBdr>
      <w:divsChild>
        <w:div w:id="1822454937">
          <w:marLeft w:val="0"/>
          <w:marRight w:val="0"/>
          <w:marTop w:val="0"/>
          <w:marBottom w:val="0"/>
          <w:divBdr>
            <w:top w:val="none" w:sz="0" w:space="0" w:color="auto"/>
            <w:left w:val="none" w:sz="0" w:space="0" w:color="auto"/>
            <w:bottom w:val="none" w:sz="0" w:space="0" w:color="auto"/>
            <w:right w:val="none" w:sz="0" w:space="0" w:color="auto"/>
          </w:divBdr>
          <w:divsChild>
            <w:div w:id="486211963">
              <w:marLeft w:val="0"/>
              <w:marRight w:val="0"/>
              <w:marTop w:val="0"/>
              <w:marBottom w:val="0"/>
              <w:divBdr>
                <w:top w:val="none" w:sz="0" w:space="0" w:color="auto"/>
                <w:left w:val="none" w:sz="0" w:space="0" w:color="auto"/>
                <w:bottom w:val="none" w:sz="0" w:space="0" w:color="auto"/>
                <w:right w:val="none" w:sz="0" w:space="0" w:color="auto"/>
              </w:divBdr>
            </w:div>
          </w:divsChild>
        </w:div>
        <w:div w:id="369846812">
          <w:marLeft w:val="0"/>
          <w:marRight w:val="0"/>
          <w:marTop w:val="0"/>
          <w:marBottom w:val="0"/>
          <w:divBdr>
            <w:top w:val="none" w:sz="0" w:space="0" w:color="auto"/>
            <w:left w:val="none" w:sz="0" w:space="0" w:color="auto"/>
            <w:bottom w:val="none" w:sz="0" w:space="0" w:color="auto"/>
            <w:right w:val="none" w:sz="0" w:space="0" w:color="auto"/>
          </w:divBdr>
          <w:divsChild>
            <w:div w:id="811797486">
              <w:marLeft w:val="0"/>
              <w:marRight w:val="0"/>
              <w:marTop w:val="0"/>
              <w:marBottom w:val="0"/>
              <w:divBdr>
                <w:top w:val="none" w:sz="0" w:space="0" w:color="auto"/>
                <w:left w:val="none" w:sz="0" w:space="0" w:color="auto"/>
                <w:bottom w:val="none" w:sz="0" w:space="0" w:color="auto"/>
                <w:right w:val="none" w:sz="0" w:space="0" w:color="auto"/>
              </w:divBdr>
            </w:div>
            <w:div w:id="828250279">
              <w:marLeft w:val="0"/>
              <w:marRight w:val="0"/>
              <w:marTop w:val="0"/>
              <w:marBottom w:val="0"/>
              <w:divBdr>
                <w:top w:val="none" w:sz="0" w:space="0" w:color="auto"/>
                <w:left w:val="none" w:sz="0" w:space="0" w:color="auto"/>
                <w:bottom w:val="none" w:sz="0" w:space="0" w:color="auto"/>
                <w:right w:val="none" w:sz="0" w:space="0" w:color="auto"/>
              </w:divBdr>
            </w:div>
            <w:div w:id="1602184694">
              <w:marLeft w:val="0"/>
              <w:marRight w:val="0"/>
              <w:marTop w:val="0"/>
              <w:marBottom w:val="0"/>
              <w:divBdr>
                <w:top w:val="none" w:sz="0" w:space="0" w:color="auto"/>
                <w:left w:val="none" w:sz="0" w:space="0" w:color="auto"/>
                <w:bottom w:val="none" w:sz="0" w:space="0" w:color="auto"/>
                <w:right w:val="none" w:sz="0" w:space="0" w:color="auto"/>
              </w:divBdr>
            </w:div>
            <w:div w:id="933975969">
              <w:marLeft w:val="0"/>
              <w:marRight w:val="0"/>
              <w:marTop w:val="0"/>
              <w:marBottom w:val="0"/>
              <w:divBdr>
                <w:top w:val="none" w:sz="0" w:space="0" w:color="auto"/>
                <w:left w:val="none" w:sz="0" w:space="0" w:color="auto"/>
                <w:bottom w:val="none" w:sz="0" w:space="0" w:color="auto"/>
                <w:right w:val="none" w:sz="0" w:space="0" w:color="auto"/>
              </w:divBdr>
            </w:div>
            <w:div w:id="1324237822">
              <w:marLeft w:val="0"/>
              <w:marRight w:val="0"/>
              <w:marTop w:val="0"/>
              <w:marBottom w:val="0"/>
              <w:divBdr>
                <w:top w:val="none" w:sz="0" w:space="0" w:color="auto"/>
                <w:left w:val="none" w:sz="0" w:space="0" w:color="auto"/>
                <w:bottom w:val="none" w:sz="0" w:space="0" w:color="auto"/>
                <w:right w:val="none" w:sz="0" w:space="0" w:color="auto"/>
              </w:divBdr>
            </w:div>
            <w:div w:id="2125610769">
              <w:marLeft w:val="0"/>
              <w:marRight w:val="0"/>
              <w:marTop w:val="0"/>
              <w:marBottom w:val="0"/>
              <w:divBdr>
                <w:top w:val="none" w:sz="0" w:space="0" w:color="auto"/>
                <w:left w:val="none" w:sz="0" w:space="0" w:color="auto"/>
                <w:bottom w:val="none" w:sz="0" w:space="0" w:color="auto"/>
                <w:right w:val="none" w:sz="0" w:space="0" w:color="auto"/>
              </w:divBdr>
            </w:div>
            <w:div w:id="472211260">
              <w:marLeft w:val="0"/>
              <w:marRight w:val="0"/>
              <w:marTop w:val="0"/>
              <w:marBottom w:val="0"/>
              <w:divBdr>
                <w:top w:val="none" w:sz="0" w:space="0" w:color="auto"/>
                <w:left w:val="none" w:sz="0" w:space="0" w:color="auto"/>
                <w:bottom w:val="none" w:sz="0" w:space="0" w:color="auto"/>
                <w:right w:val="none" w:sz="0" w:space="0" w:color="auto"/>
              </w:divBdr>
            </w:div>
            <w:div w:id="563106823">
              <w:marLeft w:val="0"/>
              <w:marRight w:val="0"/>
              <w:marTop w:val="0"/>
              <w:marBottom w:val="0"/>
              <w:divBdr>
                <w:top w:val="none" w:sz="0" w:space="0" w:color="auto"/>
                <w:left w:val="none" w:sz="0" w:space="0" w:color="auto"/>
                <w:bottom w:val="none" w:sz="0" w:space="0" w:color="auto"/>
                <w:right w:val="none" w:sz="0" w:space="0" w:color="auto"/>
              </w:divBdr>
            </w:div>
          </w:divsChild>
        </w:div>
        <w:div w:id="1339653633">
          <w:marLeft w:val="0"/>
          <w:marRight w:val="0"/>
          <w:marTop w:val="0"/>
          <w:marBottom w:val="0"/>
          <w:divBdr>
            <w:top w:val="none" w:sz="0" w:space="0" w:color="auto"/>
            <w:left w:val="none" w:sz="0" w:space="0" w:color="auto"/>
            <w:bottom w:val="none" w:sz="0" w:space="0" w:color="auto"/>
            <w:right w:val="none" w:sz="0" w:space="0" w:color="auto"/>
          </w:divBdr>
          <w:divsChild>
            <w:div w:id="1742095170">
              <w:marLeft w:val="0"/>
              <w:marRight w:val="0"/>
              <w:marTop w:val="0"/>
              <w:marBottom w:val="0"/>
              <w:divBdr>
                <w:top w:val="none" w:sz="0" w:space="0" w:color="auto"/>
                <w:left w:val="none" w:sz="0" w:space="0" w:color="auto"/>
                <w:bottom w:val="none" w:sz="0" w:space="0" w:color="auto"/>
                <w:right w:val="none" w:sz="0" w:space="0" w:color="auto"/>
              </w:divBdr>
            </w:div>
          </w:divsChild>
        </w:div>
        <w:div w:id="718626214">
          <w:marLeft w:val="0"/>
          <w:marRight w:val="0"/>
          <w:marTop w:val="0"/>
          <w:marBottom w:val="0"/>
          <w:divBdr>
            <w:top w:val="none" w:sz="0" w:space="0" w:color="auto"/>
            <w:left w:val="none" w:sz="0" w:space="0" w:color="auto"/>
            <w:bottom w:val="none" w:sz="0" w:space="0" w:color="auto"/>
            <w:right w:val="none" w:sz="0" w:space="0" w:color="auto"/>
          </w:divBdr>
          <w:divsChild>
            <w:div w:id="437335663">
              <w:marLeft w:val="0"/>
              <w:marRight w:val="0"/>
              <w:marTop w:val="0"/>
              <w:marBottom w:val="0"/>
              <w:divBdr>
                <w:top w:val="none" w:sz="0" w:space="0" w:color="auto"/>
                <w:left w:val="none" w:sz="0" w:space="0" w:color="auto"/>
                <w:bottom w:val="none" w:sz="0" w:space="0" w:color="auto"/>
                <w:right w:val="none" w:sz="0" w:space="0" w:color="auto"/>
              </w:divBdr>
            </w:div>
            <w:div w:id="1240944408">
              <w:marLeft w:val="0"/>
              <w:marRight w:val="0"/>
              <w:marTop w:val="0"/>
              <w:marBottom w:val="0"/>
              <w:divBdr>
                <w:top w:val="none" w:sz="0" w:space="0" w:color="auto"/>
                <w:left w:val="none" w:sz="0" w:space="0" w:color="auto"/>
                <w:bottom w:val="none" w:sz="0" w:space="0" w:color="auto"/>
                <w:right w:val="none" w:sz="0" w:space="0" w:color="auto"/>
              </w:divBdr>
            </w:div>
            <w:div w:id="1756514037">
              <w:marLeft w:val="0"/>
              <w:marRight w:val="0"/>
              <w:marTop w:val="0"/>
              <w:marBottom w:val="0"/>
              <w:divBdr>
                <w:top w:val="none" w:sz="0" w:space="0" w:color="auto"/>
                <w:left w:val="none" w:sz="0" w:space="0" w:color="auto"/>
                <w:bottom w:val="none" w:sz="0" w:space="0" w:color="auto"/>
                <w:right w:val="none" w:sz="0" w:space="0" w:color="auto"/>
              </w:divBdr>
            </w:div>
            <w:div w:id="808744099">
              <w:marLeft w:val="0"/>
              <w:marRight w:val="0"/>
              <w:marTop w:val="0"/>
              <w:marBottom w:val="0"/>
              <w:divBdr>
                <w:top w:val="none" w:sz="0" w:space="0" w:color="auto"/>
                <w:left w:val="none" w:sz="0" w:space="0" w:color="auto"/>
                <w:bottom w:val="none" w:sz="0" w:space="0" w:color="auto"/>
                <w:right w:val="none" w:sz="0" w:space="0" w:color="auto"/>
              </w:divBdr>
            </w:div>
            <w:div w:id="1029530297">
              <w:marLeft w:val="0"/>
              <w:marRight w:val="0"/>
              <w:marTop w:val="0"/>
              <w:marBottom w:val="0"/>
              <w:divBdr>
                <w:top w:val="none" w:sz="0" w:space="0" w:color="auto"/>
                <w:left w:val="none" w:sz="0" w:space="0" w:color="auto"/>
                <w:bottom w:val="none" w:sz="0" w:space="0" w:color="auto"/>
                <w:right w:val="none" w:sz="0" w:space="0" w:color="auto"/>
              </w:divBdr>
            </w:div>
            <w:div w:id="150829062">
              <w:marLeft w:val="0"/>
              <w:marRight w:val="0"/>
              <w:marTop w:val="0"/>
              <w:marBottom w:val="0"/>
              <w:divBdr>
                <w:top w:val="none" w:sz="0" w:space="0" w:color="auto"/>
                <w:left w:val="none" w:sz="0" w:space="0" w:color="auto"/>
                <w:bottom w:val="none" w:sz="0" w:space="0" w:color="auto"/>
                <w:right w:val="none" w:sz="0" w:space="0" w:color="auto"/>
              </w:divBdr>
            </w:div>
            <w:div w:id="908615572">
              <w:marLeft w:val="0"/>
              <w:marRight w:val="0"/>
              <w:marTop w:val="0"/>
              <w:marBottom w:val="0"/>
              <w:divBdr>
                <w:top w:val="none" w:sz="0" w:space="0" w:color="auto"/>
                <w:left w:val="none" w:sz="0" w:space="0" w:color="auto"/>
                <w:bottom w:val="none" w:sz="0" w:space="0" w:color="auto"/>
                <w:right w:val="none" w:sz="0" w:space="0" w:color="auto"/>
              </w:divBdr>
            </w:div>
            <w:div w:id="1396201674">
              <w:marLeft w:val="0"/>
              <w:marRight w:val="0"/>
              <w:marTop w:val="0"/>
              <w:marBottom w:val="0"/>
              <w:divBdr>
                <w:top w:val="none" w:sz="0" w:space="0" w:color="auto"/>
                <w:left w:val="none" w:sz="0" w:space="0" w:color="auto"/>
                <w:bottom w:val="none" w:sz="0" w:space="0" w:color="auto"/>
                <w:right w:val="none" w:sz="0" w:space="0" w:color="auto"/>
              </w:divBdr>
            </w:div>
            <w:div w:id="1296643684">
              <w:marLeft w:val="0"/>
              <w:marRight w:val="0"/>
              <w:marTop w:val="0"/>
              <w:marBottom w:val="0"/>
              <w:divBdr>
                <w:top w:val="none" w:sz="0" w:space="0" w:color="auto"/>
                <w:left w:val="none" w:sz="0" w:space="0" w:color="auto"/>
                <w:bottom w:val="none" w:sz="0" w:space="0" w:color="auto"/>
                <w:right w:val="none" w:sz="0" w:space="0" w:color="auto"/>
              </w:divBdr>
            </w:div>
            <w:div w:id="1048067486">
              <w:marLeft w:val="0"/>
              <w:marRight w:val="0"/>
              <w:marTop w:val="0"/>
              <w:marBottom w:val="0"/>
              <w:divBdr>
                <w:top w:val="none" w:sz="0" w:space="0" w:color="auto"/>
                <w:left w:val="none" w:sz="0" w:space="0" w:color="auto"/>
                <w:bottom w:val="none" w:sz="0" w:space="0" w:color="auto"/>
                <w:right w:val="none" w:sz="0" w:space="0" w:color="auto"/>
              </w:divBdr>
            </w:div>
            <w:div w:id="2137064713">
              <w:marLeft w:val="0"/>
              <w:marRight w:val="0"/>
              <w:marTop w:val="0"/>
              <w:marBottom w:val="0"/>
              <w:divBdr>
                <w:top w:val="none" w:sz="0" w:space="0" w:color="auto"/>
                <w:left w:val="none" w:sz="0" w:space="0" w:color="auto"/>
                <w:bottom w:val="none" w:sz="0" w:space="0" w:color="auto"/>
                <w:right w:val="none" w:sz="0" w:space="0" w:color="auto"/>
              </w:divBdr>
            </w:div>
            <w:div w:id="719323498">
              <w:marLeft w:val="0"/>
              <w:marRight w:val="0"/>
              <w:marTop w:val="0"/>
              <w:marBottom w:val="0"/>
              <w:divBdr>
                <w:top w:val="none" w:sz="0" w:space="0" w:color="auto"/>
                <w:left w:val="none" w:sz="0" w:space="0" w:color="auto"/>
                <w:bottom w:val="none" w:sz="0" w:space="0" w:color="auto"/>
                <w:right w:val="none" w:sz="0" w:space="0" w:color="auto"/>
              </w:divBdr>
            </w:div>
            <w:div w:id="1356351319">
              <w:marLeft w:val="0"/>
              <w:marRight w:val="0"/>
              <w:marTop w:val="0"/>
              <w:marBottom w:val="0"/>
              <w:divBdr>
                <w:top w:val="none" w:sz="0" w:space="0" w:color="auto"/>
                <w:left w:val="none" w:sz="0" w:space="0" w:color="auto"/>
                <w:bottom w:val="none" w:sz="0" w:space="0" w:color="auto"/>
                <w:right w:val="none" w:sz="0" w:space="0" w:color="auto"/>
              </w:divBdr>
            </w:div>
            <w:div w:id="1958097748">
              <w:marLeft w:val="0"/>
              <w:marRight w:val="0"/>
              <w:marTop w:val="0"/>
              <w:marBottom w:val="0"/>
              <w:divBdr>
                <w:top w:val="none" w:sz="0" w:space="0" w:color="auto"/>
                <w:left w:val="none" w:sz="0" w:space="0" w:color="auto"/>
                <w:bottom w:val="none" w:sz="0" w:space="0" w:color="auto"/>
                <w:right w:val="none" w:sz="0" w:space="0" w:color="auto"/>
              </w:divBdr>
            </w:div>
          </w:divsChild>
        </w:div>
        <w:div w:id="1442139347">
          <w:marLeft w:val="0"/>
          <w:marRight w:val="0"/>
          <w:marTop w:val="0"/>
          <w:marBottom w:val="0"/>
          <w:divBdr>
            <w:top w:val="none" w:sz="0" w:space="0" w:color="auto"/>
            <w:left w:val="none" w:sz="0" w:space="0" w:color="auto"/>
            <w:bottom w:val="none" w:sz="0" w:space="0" w:color="auto"/>
            <w:right w:val="none" w:sz="0" w:space="0" w:color="auto"/>
          </w:divBdr>
          <w:divsChild>
            <w:div w:id="1355418411">
              <w:marLeft w:val="0"/>
              <w:marRight w:val="0"/>
              <w:marTop w:val="0"/>
              <w:marBottom w:val="0"/>
              <w:divBdr>
                <w:top w:val="none" w:sz="0" w:space="0" w:color="auto"/>
                <w:left w:val="none" w:sz="0" w:space="0" w:color="auto"/>
                <w:bottom w:val="none" w:sz="0" w:space="0" w:color="auto"/>
                <w:right w:val="none" w:sz="0" w:space="0" w:color="auto"/>
              </w:divBdr>
            </w:div>
          </w:divsChild>
        </w:div>
        <w:div w:id="231820259">
          <w:marLeft w:val="0"/>
          <w:marRight w:val="0"/>
          <w:marTop w:val="0"/>
          <w:marBottom w:val="0"/>
          <w:divBdr>
            <w:top w:val="none" w:sz="0" w:space="0" w:color="auto"/>
            <w:left w:val="none" w:sz="0" w:space="0" w:color="auto"/>
            <w:bottom w:val="none" w:sz="0" w:space="0" w:color="auto"/>
            <w:right w:val="none" w:sz="0" w:space="0" w:color="auto"/>
          </w:divBdr>
          <w:divsChild>
            <w:div w:id="1349451914">
              <w:marLeft w:val="0"/>
              <w:marRight w:val="0"/>
              <w:marTop w:val="0"/>
              <w:marBottom w:val="0"/>
              <w:divBdr>
                <w:top w:val="none" w:sz="0" w:space="0" w:color="auto"/>
                <w:left w:val="none" w:sz="0" w:space="0" w:color="auto"/>
                <w:bottom w:val="none" w:sz="0" w:space="0" w:color="auto"/>
                <w:right w:val="none" w:sz="0" w:space="0" w:color="auto"/>
              </w:divBdr>
            </w:div>
            <w:div w:id="1021006767">
              <w:marLeft w:val="0"/>
              <w:marRight w:val="0"/>
              <w:marTop w:val="0"/>
              <w:marBottom w:val="0"/>
              <w:divBdr>
                <w:top w:val="none" w:sz="0" w:space="0" w:color="auto"/>
                <w:left w:val="none" w:sz="0" w:space="0" w:color="auto"/>
                <w:bottom w:val="none" w:sz="0" w:space="0" w:color="auto"/>
                <w:right w:val="none" w:sz="0" w:space="0" w:color="auto"/>
              </w:divBdr>
            </w:div>
            <w:div w:id="175000557">
              <w:marLeft w:val="0"/>
              <w:marRight w:val="0"/>
              <w:marTop w:val="0"/>
              <w:marBottom w:val="0"/>
              <w:divBdr>
                <w:top w:val="none" w:sz="0" w:space="0" w:color="auto"/>
                <w:left w:val="none" w:sz="0" w:space="0" w:color="auto"/>
                <w:bottom w:val="none" w:sz="0" w:space="0" w:color="auto"/>
                <w:right w:val="none" w:sz="0" w:space="0" w:color="auto"/>
              </w:divBdr>
            </w:div>
            <w:div w:id="1331525557">
              <w:marLeft w:val="0"/>
              <w:marRight w:val="0"/>
              <w:marTop w:val="0"/>
              <w:marBottom w:val="0"/>
              <w:divBdr>
                <w:top w:val="none" w:sz="0" w:space="0" w:color="auto"/>
                <w:left w:val="none" w:sz="0" w:space="0" w:color="auto"/>
                <w:bottom w:val="none" w:sz="0" w:space="0" w:color="auto"/>
                <w:right w:val="none" w:sz="0" w:space="0" w:color="auto"/>
              </w:divBdr>
            </w:div>
            <w:div w:id="1993439457">
              <w:marLeft w:val="0"/>
              <w:marRight w:val="0"/>
              <w:marTop w:val="0"/>
              <w:marBottom w:val="0"/>
              <w:divBdr>
                <w:top w:val="none" w:sz="0" w:space="0" w:color="auto"/>
                <w:left w:val="none" w:sz="0" w:space="0" w:color="auto"/>
                <w:bottom w:val="none" w:sz="0" w:space="0" w:color="auto"/>
                <w:right w:val="none" w:sz="0" w:space="0" w:color="auto"/>
              </w:divBdr>
            </w:div>
            <w:div w:id="2042439319">
              <w:marLeft w:val="0"/>
              <w:marRight w:val="0"/>
              <w:marTop w:val="0"/>
              <w:marBottom w:val="0"/>
              <w:divBdr>
                <w:top w:val="none" w:sz="0" w:space="0" w:color="auto"/>
                <w:left w:val="none" w:sz="0" w:space="0" w:color="auto"/>
                <w:bottom w:val="none" w:sz="0" w:space="0" w:color="auto"/>
                <w:right w:val="none" w:sz="0" w:space="0" w:color="auto"/>
              </w:divBdr>
            </w:div>
          </w:divsChild>
        </w:div>
        <w:div w:id="1974095711">
          <w:marLeft w:val="0"/>
          <w:marRight w:val="0"/>
          <w:marTop w:val="0"/>
          <w:marBottom w:val="0"/>
          <w:divBdr>
            <w:top w:val="none" w:sz="0" w:space="0" w:color="auto"/>
            <w:left w:val="none" w:sz="0" w:space="0" w:color="auto"/>
            <w:bottom w:val="none" w:sz="0" w:space="0" w:color="auto"/>
            <w:right w:val="none" w:sz="0" w:space="0" w:color="auto"/>
          </w:divBdr>
          <w:divsChild>
            <w:div w:id="1437092290">
              <w:marLeft w:val="0"/>
              <w:marRight w:val="0"/>
              <w:marTop w:val="0"/>
              <w:marBottom w:val="0"/>
              <w:divBdr>
                <w:top w:val="none" w:sz="0" w:space="0" w:color="auto"/>
                <w:left w:val="none" w:sz="0" w:space="0" w:color="auto"/>
                <w:bottom w:val="none" w:sz="0" w:space="0" w:color="auto"/>
                <w:right w:val="none" w:sz="0" w:space="0" w:color="auto"/>
              </w:divBdr>
            </w:div>
          </w:divsChild>
        </w:div>
        <w:div w:id="1265188415">
          <w:marLeft w:val="0"/>
          <w:marRight w:val="0"/>
          <w:marTop w:val="0"/>
          <w:marBottom w:val="0"/>
          <w:divBdr>
            <w:top w:val="none" w:sz="0" w:space="0" w:color="auto"/>
            <w:left w:val="none" w:sz="0" w:space="0" w:color="auto"/>
            <w:bottom w:val="none" w:sz="0" w:space="0" w:color="auto"/>
            <w:right w:val="none" w:sz="0" w:space="0" w:color="auto"/>
          </w:divBdr>
          <w:divsChild>
            <w:div w:id="146478239">
              <w:marLeft w:val="0"/>
              <w:marRight w:val="0"/>
              <w:marTop w:val="0"/>
              <w:marBottom w:val="0"/>
              <w:divBdr>
                <w:top w:val="none" w:sz="0" w:space="0" w:color="auto"/>
                <w:left w:val="none" w:sz="0" w:space="0" w:color="auto"/>
                <w:bottom w:val="none" w:sz="0" w:space="0" w:color="auto"/>
                <w:right w:val="none" w:sz="0" w:space="0" w:color="auto"/>
              </w:divBdr>
            </w:div>
            <w:div w:id="582884583">
              <w:marLeft w:val="0"/>
              <w:marRight w:val="0"/>
              <w:marTop w:val="0"/>
              <w:marBottom w:val="0"/>
              <w:divBdr>
                <w:top w:val="none" w:sz="0" w:space="0" w:color="auto"/>
                <w:left w:val="none" w:sz="0" w:space="0" w:color="auto"/>
                <w:bottom w:val="none" w:sz="0" w:space="0" w:color="auto"/>
                <w:right w:val="none" w:sz="0" w:space="0" w:color="auto"/>
              </w:divBdr>
            </w:div>
            <w:div w:id="1694384804">
              <w:marLeft w:val="0"/>
              <w:marRight w:val="0"/>
              <w:marTop w:val="0"/>
              <w:marBottom w:val="0"/>
              <w:divBdr>
                <w:top w:val="none" w:sz="0" w:space="0" w:color="auto"/>
                <w:left w:val="none" w:sz="0" w:space="0" w:color="auto"/>
                <w:bottom w:val="none" w:sz="0" w:space="0" w:color="auto"/>
                <w:right w:val="none" w:sz="0" w:space="0" w:color="auto"/>
              </w:divBdr>
            </w:div>
            <w:div w:id="506754885">
              <w:marLeft w:val="0"/>
              <w:marRight w:val="0"/>
              <w:marTop w:val="0"/>
              <w:marBottom w:val="0"/>
              <w:divBdr>
                <w:top w:val="none" w:sz="0" w:space="0" w:color="auto"/>
                <w:left w:val="none" w:sz="0" w:space="0" w:color="auto"/>
                <w:bottom w:val="none" w:sz="0" w:space="0" w:color="auto"/>
                <w:right w:val="none" w:sz="0" w:space="0" w:color="auto"/>
              </w:divBdr>
            </w:div>
            <w:div w:id="1139803367">
              <w:marLeft w:val="0"/>
              <w:marRight w:val="0"/>
              <w:marTop w:val="0"/>
              <w:marBottom w:val="0"/>
              <w:divBdr>
                <w:top w:val="none" w:sz="0" w:space="0" w:color="auto"/>
                <w:left w:val="none" w:sz="0" w:space="0" w:color="auto"/>
                <w:bottom w:val="none" w:sz="0" w:space="0" w:color="auto"/>
                <w:right w:val="none" w:sz="0" w:space="0" w:color="auto"/>
              </w:divBdr>
            </w:div>
            <w:div w:id="177811658">
              <w:marLeft w:val="0"/>
              <w:marRight w:val="0"/>
              <w:marTop w:val="0"/>
              <w:marBottom w:val="0"/>
              <w:divBdr>
                <w:top w:val="none" w:sz="0" w:space="0" w:color="auto"/>
                <w:left w:val="none" w:sz="0" w:space="0" w:color="auto"/>
                <w:bottom w:val="none" w:sz="0" w:space="0" w:color="auto"/>
                <w:right w:val="none" w:sz="0" w:space="0" w:color="auto"/>
              </w:divBdr>
            </w:div>
            <w:div w:id="1023626478">
              <w:marLeft w:val="0"/>
              <w:marRight w:val="0"/>
              <w:marTop w:val="0"/>
              <w:marBottom w:val="0"/>
              <w:divBdr>
                <w:top w:val="none" w:sz="0" w:space="0" w:color="auto"/>
                <w:left w:val="none" w:sz="0" w:space="0" w:color="auto"/>
                <w:bottom w:val="none" w:sz="0" w:space="0" w:color="auto"/>
                <w:right w:val="none" w:sz="0" w:space="0" w:color="auto"/>
              </w:divBdr>
            </w:div>
            <w:div w:id="1736472410">
              <w:marLeft w:val="0"/>
              <w:marRight w:val="0"/>
              <w:marTop w:val="0"/>
              <w:marBottom w:val="0"/>
              <w:divBdr>
                <w:top w:val="none" w:sz="0" w:space="0" w:color="auto"/>
                <w:left w:val="none" w:sz="0" w:space="0" w:color="auto"/>
                <w:bottom w:val="none" w:sz="0" w:space="0" w:color="auto"/>
                <w:right w:val="none" w:sz="0" w:space="0" w:color="auto"/>
              </w:divBdr>
            </w:div>
            <w:div w:id="1569421085">
              <w:marLeft w:val="0"/>
              <w:marRight w:val="0"/>
              <w:marTop w:val="0"/>
              <w:marBottom w:val="0"/>
              <w:divBdr>
                <w:top w:val="none" w:sz="0" w:space="0" w:color="auto"/>
                <w:left w:val="none" w:sz="0" w:space="0" w:color="auto"/>
                <w:bottom w:val="none" w:sz="0" w:space="0" w:color="auto"/>
                <w:right w:val="none" w:sz="0" w:space="0" w:color="auto"/>
              </w:divBdr>
            </w:div>
            <w:div w:id="1117408578">
              <w:marLeft w:val="0"/>
              <w:marRight w:val="0"/>
              <w:marTop w:val="0"/>
              <w:marBottom w:val="0"/>
              <w:divBdr>
                <w:top w:val="none" w:sz="0" w:space="0" w:color="auto"/>
                <w:left w:val="none" w:sz="0" w:space="0" w:color="auto"/>
                <w:bottom w:val="none" w:sz="0" w:space="0" w:color="auto"/>
                <w:right w:val="none" w:sz="0" w:space="0" w:color="auto"/>
              </w:divBdr>
            </w:div>
            <w:div w:id="2082553837">
              <w:marLeft w:val="0"/>
              <w:marRight w:val="0"/>
              <w:marTop w:val="0"/>
              <w:marBottom w:val="0"/>
              <w:divBdr>
                <w:top w:val="none" w:sz="0" w:space="0" w:color="auto"/>
                <w:left w:val="none" w:sz="0" w:space="0" w:color="auto"/>
                <w:bottom w:val="none" w:sz="0" w:space="0" w:color="auto"/>
                <w:right w:val="none" w:sz="0" w:space="0" w:color="auto"/>
              </w:divBdr>
            </w:div>
          </w:divsChild>
        </w:div>
        <w:div w:id="1721903283">
          <w:marLeft w:val="0"/>
          <w:marRight w:val="0"/>
          <w:marTop w:val="0"/>
          <w:marBottom w:val="0"/>
          <w:divBdr>
            <w:top w:val="none" w:sz="0" w:space="0" w:color="auto"/>
            <w:left w:val="none" w:sz="0" w:space="0" w:color="auto"/>
            <w:bottom w:val="none" w:sz="0" w:space="0" w:color="auto"/>
            <w:right w:val="none" w:sz="0" w:space="0" w:color="auto"/>
          </w:divBdr>
          <w:divsChild>
            <w:div w:id="173232553">
              <w:marLeft w:val="0"/>
              <w:marRight w:val="0"/>
              <w:marTop w:val="0"/>
              <w:marBottom w:val="0"/>
              <w:divBdr>
                <w:top w:val="none" w:sz="0" w:space="0" w:color="auto"/>
                <w:left w:val="none" w:sz="0" w:space="0" w:color="auto"/>
                <w:bottom w:val="none" w:sz="0" w:space="0" w:color="auto"/>
                <w:right w:val="none" w:sz="0" w:space="0" w:color="auto"/>
              </w:divBdr>
            </w:div>
          </w:divsChild>
        </w:div>
        <w:div w:id="67533469">
          <w:marLeft w:val="0"/>
          <w:marRight w:val="0"/>
          <w:marTop w:val="0"/>
          <w:marBottom w:val="0"/>
          <w:divBdr>
            <w:top w:val="none" w:sz="0" w:space="0" w:color="auto"/>
            <w:left w:val="none" w:sz="0" w:space="0" w:color="auto"/>
            <w:bottom w:val="none" w:sz="0" w:space="0" w:color="auto"/>
            <w:right w:val="none" w:sz="0" w:space="0" w:color="auto"/>
          </w:divBdr>
          <w:divsChild>
            <w:div w:id="17661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8018">
      <w:bodyDiv w:val="1"/>
      <w:marLeft w:val="0"/>
      <w:marRight w:val="0"/>
      <w:marTop w:val="0"/>
      <w:marBottom w:val="0"/>
      <w:divBdr>
        <w:top w:val="none" w:sz="0" w:space="0" w:color="auto"/>
        <w:left w:val="none" w:sz="0" w:space="0" w:color="auto"/>
        <w:bottom w:val="none" w:sz="0" w:space="0" w:color="auto"/>
        <w:right w:val="none" w:sz="0" w:space="0" w:color="auto"/>
      </w:divBdr>
    </w:div>
    <w:div w:id="1773014759">
      <w:bodyDiv w:val="1"/>
      <w:marLeft w:val="0"/>
      <w:marRight w:val="0"/>
      <w:marTop w:val="0"/>
      <w:marBottom w:val="0"/>
      <w:divBdr>
        <w:top w:val="none" w:sz="0" w:space="0" w:color="auto"/>
        <w:left w:val="none" w:sz="0" w:space="0" w:color="auto"/>
        <w:bottom w:val="none" w:sz="0" w:space="0" w:color="auto"/>
        <w:right w:val="none" w:sz="0" w:space="0" w:color="auto"/>
      </w:divBdr>
      <w:divsChild>
        <w:div w:id="358745264">
          <w:marLeft w:val="0"/>
          <w:marRight w:val="0"/>
          <w:marTop w:val="0"/>
          <w:marBottom w:val="0"/>
          <w:divBdr>
            <w:top w:val="none" w:sz="0" w:space="0" w:color="auto"/>
            <w:left w:val="none" w:sz="0" w:space="0" w:color="auto"/>
            <w:bottom w:val="none" w:sz="0" w:space="0" w:color="auto"/>
            <w:right w:val="none" w:sz="0" w:space="0" w:color="auto"/>
          </w:divBdr>
          <w:divsChild>
            <w:div w:id="553393908">
              <w:marLeft w:val="0"/>
              <w:marRight w:val="0"/>
              <w:marTop w:val="0"/>
              <w:marBottom w:val="0"/>
              <w:divBdr>
                <w:top w:val="none" w:sz="0" w:space="0" w:color="auto"/>
                <w:left w:val="none" w:sz="0" w:space="0" w:color="auto"/>
                <w:bottom w:val="none" w:sz="0" w:space="0" w:color="auto"/>
                <w:right w:val="none" w:sz="0" w:space="0" w:color="auto"/>
              </w:divBdr>
            </w:div>
          </w:divsChild>
        </w:div>
        <w:div w:id="1263613821">
          <w:marLeft w:val="0"/>
          <w:marRight w:val="0"/>
          <w:marTop w:val="0"/>
          <w:marBottom w:val="0"/>
          <w:divBdr>
            <w:top w:val="none" w:sz="0" w:space="0" w:color="auto"/>
            <w:left w:val="none" w:sz="0" w:space="0" w:color="auto"/>
            <w:bottom w:val="none" w:sz="0" w:space="0" w:color="auto"/>
            <w:right w:val="none" w:sz="0" w:space="0" w:color="auto"/>
          </w:divBdr>
          <w:divsChild>
            <w:div w:id="1328485179">
              <w:marLeft w:val="0"/>
              <w:marRight w:val="0"/>
              <w:marTop w:val="0"/>
              <w:marBottom w:val="0"/>
              <w:divBdr>
                <w:top w:val="none" w:sz="0" w:space="0" w:color="auto"/>
                <w:left w:val="none" w:sz="0" w:space="0" w:color="auto"/>
                <w:bottom w:val="none" w:sz="0" w:space="0" w:color="auto"/>
                <w:right w:val="none" w:sz="0" w:space="0" w:color="auto"/>
              </w:divBdr>
            </w:div>
            <w:div w:id="1213274494">
              <w:marLeft w:val="0"/>
              <w:marRight w:val="0"/>
              <w:marTop w:val="0"/>
              <w:marBottom w:val="0"/>
              <w:divBdr>
                <w:top w:val="none" w:sz="0" w:space="0" w:color="auto"/>
                <w:left w:val="none" w:sz="0" w:space="0" w:color="auto"/>
                <w:bottom w:val="none" w:sz="0" w:space="0" w:color="auto"/>
                <w:right w:val="none" w:sz="0" w:space="0" w:color="auto"/>
              </w:divBdr>
            </w:div>
            <w:div w:id="2007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98198403f30843d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3578B78E7494BB74BDD9CE40E568D" ma:contentTypeVersion="6" ma:contentTypeDescription="Create a new document." ma:contentTypeScope="" ma:versionID="c068f21e6d7b91fd4f48788fdabbdf29">
  <xsd:schema xmlns:xsd="http://www.w3.org/2001/XMLSchema" xmlns:xs="http://www.w3.org/2001/XMLSchema" xmlns:p="http://schemas.microsoft.com/office/2006/metadata/properties" xmlns:ns2="b3c49b28-0bbe-465b-ad81-ef00a0c053cc" xmlns:ns3="349a6163-a35c-4669-b585-d2286a628122" targetNamespace="http://schemas.microsoft.com/office/2006/metadata/properties" ma:root="true" ma:fieldsID="b21c11e3f4071e792426dec9620f5115" ns2:_="" ns3:_="">
    <xsd:import namespace="b3c49b28-0bbe-465b-ad81-ef00a0c053cc"/>
    <xsd:import namespace="349a6163-a35c-4669-b585-d2286a628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9b28-0bbe-465b-ad81-ef00a0c0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163-a35c-4669-b585-d2286a6281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49a6163-a35c-4669-b585-d2286a628122">
      <UserInfo>
        <DisplayName>O'Rourke, Anthony</DisplayName>
        <AccountId>50</AccountId>
        <AccountType/>
      </UserInfo>
      <UserInfo>
        <DisplayName>Schonbachler, Ruth Ann</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CA14-0EE2-4EC4-A34A-A65C715178D6}">
  <ds:schemaRefs>
    <ds:schemaRef ds:uri="http://schemas.microsoft.com/sharepoint/v3/contenttype/forms"/>
  </ds:schemaRefs>
</ds:datastoreItem>
</file>

<file path=customXml/itemProps2.xml><?xml version="1.0" encoding="utf-8"?>
<ds:datastoreItem xmlns:ds="http://schemas.openxmlformats.org/officeDocument/2006/customXml" ds:itemID="{4AEBD140-C8D3-4783-91FB-14CE5759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9b28-0bbe-465b-ad81-ef00a0c053cc"/>
    <ds:schemaRef ds:uri="349a6163-a35c-4669-b585-d2286a628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79726-2885-40E8-B586-EB03D84744C2}">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b3c49b28-0bbe-465b-ad81-ef00a0c053cc"/>
    <ds:schemaRef ds:uri="http://purl.org/dc/terms/"/>
    <ds:schemaRef ds:uri="http://schemas.microsoft.com/office/infopath/2007/PartnerControls"/>
    <ds:schemaRef ds:uri="349a6163-a35c-4669-b585-d2286a628122"/>
    <ds:schemaRef ds:uri="http://www.w3.org/XML/1998/namespace"/>
  </ds:schemaRefs>
</ds:datastoreItem>
</file>

<file path=customXml/itemProps4.xml><?xml version="1.0" encoding="utf-8"?>
<ds:datastoreItem xmlns:ds="http://schemas.openxmlformats.org/officeDocument/2006/customXml" ds:itemID="{03D5BF8B-85D8-406B-9D10-E810092B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8561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Anthony</dc:creator>
  <cp:keywords/>
  <dc:description/>
  <cp:lastModifiedBy>Maynard, Sheri</cp:lastModifiedBy>
  <cp:revision>2</cp:revision>
  <dcterms:created xsi:type="dcterms:W3CDTF">2024-06-28T19:04:00Z</dcterms:created>
  <dcterms:modified xsi:type="dcterms:W3CDTF">2024-06-28T19:04:00Z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0x010100AC23578B78E7494BB74BDD9CE40E568D</vt:lpwstr>
  </property>
</Properties>
</file>