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1E1A00" w14:textId="77777777" w:rsidR="003510A4" w:rsidRDefault="00FF18D5">
      <w:pPr>
        <w:spacing w:after="60"/>
        <w:rPr>
          <w:rFonts w:ascii="Inter" w:eastAsia="Inter" w:hAnsi="Inter" w:cs="Inter"/>
          <w:b/>
          <w:bCs/>
          <w:sz w:val="36"/>
          <w:szCs w:val="36"/>
        </w:rPr>
      </w:pPr>
      <w:r>
        <w:rPr>
          <w:rFonts w:ascii="Inter" w:eastAsia="Inter" w:hAnsi="Inter" w:cs="Inter"/>
          <w:b/>
          <w:bCs/>
          <w:sz w:val="36"/>
          <w:szCs w:val="36"/>
        </w:rPr>
        <w:t>PSE 2026 Gas Decarbonization RFP</w:t>
      </w:r>
    </w:p>
    <w:p w14:paraId="10D81AFD" w14:textId="65806DF1" w:rsidR="003510A4" w:rsidRDefault="00FF18D5">
      <w:pPr>
        <w:spacing w:after="60"/>
        <w:rPr>
          <w:rFonts w:ascii="Inter" w:eastAsia="Inter" w:hAnsi="Inter" w:cs="Inter"/>
          <w:b/>
          <w:bCs/>
          <w:sz w:val="36"/>
          <w:szCs w:val="36"/>
        </w:rPr>
      </w:pPr>
      <w:r>
        <w:rPr>
          <w:rFonts w:ascii="Inter" w:eastAsia="Inter" w:hAnsi="Inter" w:cs="Inter"/>
          <w:b/>
          <w:bCs/>
          <w:sz w:val="36"/>
          <w:szCs w:val="36"/>
        </w:rPr>
        <w:t>Exhibit A – Evaluation Criteria</w:t>
      </w:r>
    </w:p>
    <w:p w14:paraId="4D901D19" w14:textId="77777777" w:rsidR="003510A4" w:rsidRDefault="00FF18D5">
      <w:pPr>
        <w:spacing w:after="60"/>
        <w:rPr>
          <w:rFonts w:ascii="Inter" w:eastAsia="Inter" w:hAnsi="Inter" w:cs="Inter"/>
        </w:rPr>
      </w:pPr>
      <w:r>
        <w:rPr>
          <w:b/>
          <w:bCs/>
          <w:i/>
          <w:iCs/>
          <w:color w:val="000000"/>
          <w:sz w:val="28"/>
          <w:szCs w:val="28"/>
        </w:rPr>
        <w:t>(For reference only)</w:t>
      </w:r>
    </w:p>
    <w:p w14:paraId="2CB922F9" w14:textId="77777777" w:rsidR="003510A4" w:rsidRDefault="003510A4">
      <w:pPr>
        <w:rPr>
          <w:rFonts w:ascii="Inter" w:eastAsia="Inter" w:hAnsi="Inter" w:cs="Inter"/>
          <w:i/>
          <w:iCs/>
          <w:color w:val="595959"/>
          <w:sz w:val="20"/>
          <w:szCs w:val="20"/>
        </w:rPr>
      </w:pPr>
    </w:p>
    <w:p w14:paraId="557F6A98" w14:textId="77777777" w:rsidR="003510A4" w:rsidRDefault="00FF18D5">
      <w:pPr>
        <w:rPr>
          <w:rFonts w:ascii="Inter" w:eastAsia="Inter" w:hAnsi="Inter" w:cs="Inter"/>
        </w:rPr>
      </w:pPr>
      <w:r>
        <w:rPr>
          <w:rFonts w:ascii="Inter" w:eastAsia="Inter" w:hAnsi="Inter" w:cs="Inter"/>
          <w:b/>
          <w:bCs/>
          <w:sz w:val="30"/>
          <w:szCs w:val="30"/>
        </w:rPr>
        <w:t>1. Overview</w:t>
      </w:r>
    </w:p>
    <w:p w14:paraId="142935A5" w14:textId="77777777" w:rsidR="003510A4" w:rsidRDefault="00FF18D5">
      <w:pPr>
        <w:spacing w:before="300" w:after="300"/>
        <w:rPr>
          <w:rFonts w:ascii="Inter" w:eastAsia="Inter" w:hAnsi="Inter" w:cs="Inter"/>
          <w:lang w:val="en-US"/>
        </w:rPr>
      </w:pPr>
      <w:r w:rsidRPr="52A52F4F">
        <w:rPr>
          <w:rFonts w:ascii="Inter" w:eastAsia="Inter" w:hAnsi="Inter" w:cs="Inter"/>
          <w:lang w:val="en-US"/>
        </w:rPr>
        <w:t>This document outlines the evaluation criteria that will be used to assess proposals submitted in response to the PSE 2026 Gas Decarbonization RFP. Proposals are evaluated across four Principles (A–D), each addressing a distinct dimension of project quality, policy compliance, and delivery credibility. The weighted sum of scores across all Principles produces a composite score used to rank proposals.</w:t>
      </w:r>
    </w:p>
    <w:p w14:paraId="0BFBA80D" w14:textId="007FA999" w:rsidR="003510A4" w:rsidRDefault="00FF18D5">
      <w:pPr>
        <w:spacing w:before="300" w:after="300"/>
        <w:rPr>
          <w:rFonts w:ascii="Inter" w:eastAsia="Inter" w:hAnsi="Inter" w:cs="Inter"/>
          <w:lang w:val="en-US"/>
        </w:rPr>
      </w:pPr>
      <w:r w:rsidRPr="52A52F4F">
        <w:rPr>
          <w:rFonts w:ascii="Inter" w:eastAsia="Inter" w:hAnsi="Inter" w:cs="Inter"/>
          <w:lang w:val="en-US"/>
        </w:rPr>
        <w:t xml:space="preserve">Proposals are evaluated on all applicable Principles. Principle D criteria are domain-specific: demand-side proposals are evaluated against D1 criteria, supply-side proposals against D2, </w:t>
      </w:r>
      <w:r w:rsidR="008A49FC" w:rsidRPr="52A52F4F">
        <w:rPr>
          <w:rFonts w:ascii="Inter" w:eastAsia="Inter" w:hAnsi="Inter" w:cs="Inter"/>
          <w:lang w:val="en-US"/>
        </w:rPr>
        <w:t>Carbon Capture Utilization and Storage (</w:t>
      </w:r>
      <w:r w:rsidRPr="52A52F4F">
        <w:rPr>
          <w:rFonts w:ascii="Inter" w:eastAsia="Inter" w:hAnsi="Inter" w:cs="Inter"/>
          <w:lang w:val="en-US"/>
        </w:rPr>
        <w:t>CCUS</w:t>
      </w:r>
      <w:r w:rsidR="008A49FC" w:rsidRPr="52A52F4F">
        <w:rPr>
          <w:rFonts w:ascii="Inter" w:eastAsia="Inter" w:hAnsi="Inter" w:cs="Inter"/>
          <w:lang w:val="en-US"/>
        </w:rPr>
        <w:t>)</w:t>
      </w:r>
      <w:r w:rsidRPr="52A52F4F">
        <w:rPr>
          <w:rFonts w:ascii="Inter" w:eastAsia="Inter" w:hAnsi="Inter" w:cs="Inter"/>
          <w:lang w:val="en-US"/>
        </w:rPr>
        <w:t xml:space="preserve"> proposals against D3, and hybrid proposals against any applicable </w:t>
      </w:r>
      <w:proofErr w:type="gramStart"/>
      <w:r w:rsidRPr="52A52F4F">
        <w:rPr>
          <w:rFonts w:ascii="Inter" w:eastAsia="Inter" w:hAnsi="Inter" w:cs="Inter"/>
          <w:lang w:val="en-US"/>
        </w:rPr>
        <w:t>Principle</w:t>
      </w:r>
      <w:proofErr w:type="gramEnd"/>
      <w:r w:rsidRPr="52A52F4F">
        <w:rPr>
          <w:rFonts w:ascii="Inter" w:eastAsia="Inter" w:hAnsi="Inter" w:cs="Inter"/>
          <w:lang w:val="en-US"/>
        </w:rPr>
        <w:t xml:space="preserve"> D sections.</w:t>
      </w:r>
    </w:p>
    <w:p w14:paraId="506ABB89" w14:textId="72212085" w:rsidR="003510A4" w:rsidRDefault="00FF18D5">
      <w:pPr>
        <w:spacing w:before="300" w:after="300"/>
        <w:rPr>
          <w:rFonts w:ascii="Inter" w:eastAsia="Inter" w:hAnsi="Inter" w:cs="Inter"/>
        </w:rPr>
      </w:pPr>
      <w:r>
        <w:rPr>
          <w:rFonts w:ascii="Inter" w:eastAsia="Inter" w:hAnsi="Inter" w:cs="Inter"/>
        </w:rPr>
        <w:t>Scores reflect the quality, specificity, and credibility of the information provided. Vague or unsupported claims will receive lower scores than responses that are quantified, methodologically grounded, and internally consistent with other sections of the proposal. Evaluators will cross-reference responses across Principles</w:t>
      </w:r>
      <w:r w:rsidR="002801D4">
        <w:rPr>
          <w:rFonts w:ascii="Inter" w:eastAsia="Inter" w:hAnsi="Inter" w:cs="Inter"/>
        </w:rPr>
        <w:t xml:space="preserve"> </w:t>
      </w:r>
      <w:r w:rsidR="00C77878">
        <w:rPr>
          <w:rFonts w:ascii="Inter" w:eastAsia="Inter" w:hAnsi="Inter" w:cs="Inter"/>
        </w:rPr>
        <w:t>— particularly between the GHG claims in Principle B</w:t>
      </w:r>
      <w:r w:rsidR="002801D4">
        <w:rPr>
          <w:rFonts w:ascii="Inter" w:eastAsia="Inter" w:hAnsi="Inter" w:cs="Inter"/>
        </w:rPr>
        <w:t xml:space="preserve"> and other Principles.</w:t>
      </w:r>
    </w:p>
    <w:p w14:paraId="29A9552E" w14:textId="77777777" w:rsidR="003510A4" w:rsidRDefault="00FF18D5">
      <w:pPr>
        <w:spacing w:before="300" w:after="300"/>
        <w:rPr>
          <w:rFonts w:ascii="Inter" w:eastAsia="Inter" w:hAnsi="Inter" w:cs="Inter"/>
        </w:rPr>
      </w:pPr>
      <w:r>
        <w:rPr>
          <w:rFonts w:ascii="Inter" w:eastAsia="Inter" w:hAnsi="Inter" w:cs="Inter"/>
        </w:rPr>
        <w:t>The criteria in this document correspond directly to the questions and response requirements in Exhibit B. Bidders are encouraged to review both documents together when preparing their proposals.</w:t>
      </w:r>
    </w:p>
    <w:p w14:paraId="60359A74" w14:textId="77777777" w:rsidR="003510A4" w:rsidRDefault="00FF18D5">
      <w:pPr>
        <w:pStyle w:val="Heading2"/>
        <w:rPr>
          <w:rFonts w:ascii="Inter" w:eastAsia="Inter" w:hAnsi="Inter" w:cs="Inter"/>
          <w:color w:val="000000"/>
        </w:rPr>
      </w:pPr>
      <w:r>
        <w:rPr>
          <w:rFonts w:ascii="Inter" w:eastAsia="Inter" w:hAnsi="Inter" w:cs="Inter"/>
          <w:color w:val="000000"/>
        </w:rPr>
        <w:t>Weighting Summary</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5170"/>
        <w:gridCol w:w="1440"/>
        <w:gridCol w:w="1895"/>
      </w:tblGrid>
      <w:tr w:rsidR="003510A4" w14:paraId="53D870E7" w14:textId="77777777">
        <w:tc>
          <w:tcPr>
            <w:tcW w:w="855" w:type="dxa"/>
            <w:tcBorders>
              <w:top w:val="single" w:sz="4" w:space="0" w:color="1F3864"/>
              <w:left w:val="single" w:sz="4" w:space="0" w:color="1F3864"/>
              <w:bottom w:val="single" w:sz="4" w:space="0" w:color="1F3864"/>
              <w:right w:val="single" w:sz="4" w:space="0" w:color="1F3864"/>
            </w:tcBorders>
            <w:shd w:val="clear" w:color="auto" w:fill="000000"/>
            <w:tcMar>
              <w:top w:w="80" w:type="dxa"/>
              <w:left w:w="120" w:type="dxa"/>
              <w:bottom w:w="80" w:type="dxa"/>
              <w:right w:w="120" w:type="dxa"/>
            </w:tcMar>
          </w:tcPr>
          <w:p w14:paraId="03733EB1" w14:textId="77777777" w:rsidR="003510A4" w:rsidRDefault="00FF18D5">
            <w:pPr>
              <w:rPr>
                <w:rFonts w:ascii="Inter" w:eastAsia="Inter" w:hAnsi="Inter" w:cs="Inter"/>
              </w:rPr>
            </w:pPr>
            <w:r>
              <w:rPr>
                <w:rFonts w:ascii="Inter" w:eastAsia="Inter" w:hAnsi="Inter" w:cs="Inter"/>
                <w:b/>
                <w:bCs/>
                <w:color w:val="FFFFFF"/>
                <w:sz w:val="19"/>
                <w:szCs w:val="19"/>
              </w:rPr>
              <w:t>Letter</w:t>
            </w:r>
          </w:p>
        </w:tc>
        <w:tc>
          <w:tcPr>
            <w:tcW w:w="5170" w:type="dxa"/>
            <w:tcBorders>
              <w:top w:val="single" w:sz="4" w:space="0" w:color="1F3864"/>
              <w:left w:val="single" w:sz="4" w:space="0" w:color="1F3864"/>
              <w:bottom w:val="single" w:sz="4" w:space="0" w:color="1F3864"/>
              <w:right w:val="single" w:sz="4" w:space="0" w:color="1F3864"/>
            </w:tcBorders>
            <w:shd w:val="clear" w:color="auto" w:fill="000000"/>
            <w:tcMar>
              <w:top w:w="80" w:type="dxa"/>
              <w:left w:w="120" w:type="dxa"/>
              <w:bottom w:w="80" w:type="dxa"/>
              <w:right w:w="120" w:type="dxa"/>
            </w:tcMar>
          </w:tcPr>
          <w:p w14:paraId="7738CB03" w14:textId="77777777" w:rsidR="003510A4" w:rsidRDefault="00FF18D5">
            <w:pPr>
              <w:rPr>
                <w:rFonts w:ascii="Inter" w:eastAsia="Inter" w:hAnsi="Inter" w:cs="Inter"/>
              </w:rPr>
            </w:pPr>
            <w:r>
              <w:rPr>
                <w:rFonts w:ascii="Inter" w:eastAsia="Inter" w:hAnsi="Inter" w:cs="Inter"/>
                <w:b/>
                <w:bCs/>
                <w:color w:val="FFFFFF"/>
                <w:sz w:val="19"/>
                <w:szCs w:val="19"/>
              </w:rPr>
              <w:t>Principle</w:t>
            </w:r>
          </w:p>
        </w:tc>
        <w:tc>
          <w:tcPr>
            <w:tcW w:w="1440" w:type="dxa"/>
            <w:tcBorders>
              <w:top w:val="single" w:sz="4" w:space="0" w:color="1F3864"/>
              <w:left w:val="single" w:sz="4" w:space="0" w:color="1F3864"/>
              <w:bottom w:val="single" w:sz="4" w:space="0" w:color="1F3864"/>
              <w:right w:val="single" w:sz="4" w:space="0" w:color="1F3864"/>
            </w:tcBorders>
            <w:shd w:val="clear" w:color="auto" w:fill="000000"/>
            <w:tcMar>
              <w:top w:w="80" w:type="dxa"/>
              <w:left w:w="120" w:type="dxa"/>
              <w:bottom w:w="80" w:type="dxa"/>
              <w:right w:w="120" w:type="dxa"/>
            </w:tcMar>
          </w:tcPr>
          <w:p w14:paraId="58D13391" w14:textId="77777777" w:rsidR="003510A4" w:rsidRDefault="00FF18D5">
            <w:pPr>
              <w:jc w:val="center"/>
              <w:rPr>
                <w:rFonts w:ascii="Inter" w:eastAsia="Inter" w:hAnsi="Inter" w:cs="Inter"/>
              </w:rPr>
            </w:pPr>
            <w:r>
              <w:rPr>
                <w:rFonts w:ascii="Inter" w:eastAsia="Inter" w:hAnsi="Inter" w:cs="Inter"/>
                <w:b/>
                <w:bCs/>
                <w:color w:val="FFFFFF"/>
                <w:sz w:val="19"/>
                <w:szCs w:val="19"/>
              </w:rPr>
              <w:t>Weight</w:t>
            </w:r>
          </w:p>
        </w:tc>
        <w:tc>
          <w:tcPr>
            <w:tcW w:w="1895" w:type="dxa"/>
            <w:tcBorders>
              <w:top w:val="single" w:sz="4" w:space="0" w:color="1F3864"/>
              <w:left w:val="single" w:sz="4" w:space="0" w:color="1F3864"/>
              <w:bottom w:val="single" w:sz="4" w:space="0" w:color="1F3864"/>
              <w:right w:val="single" w:sz="4" w:space="0" w:color="1F3864"/>
            </w:tcBorders>
            <w:shd w:val="clear" w:color="auto" w:fill="000000"/>
            <w:tcMar>
              <w:top w:w="80" w:type="dxa"/>
              <w:left w:w="120" w:type="dxa"/>
              <w:bottom w:w="80" w:type="dxa"/>
              <w:right w:w="120" w:type="dxa"/>
            </w:tcMar>
          </w:tcPr>
          <w:p w14:paraId="6CB416B8" w14:textId="77777777" w:rsidR="003510A4" w:rsidRDefault="00FF18D5">
            <w:pPr>
              <w:rPr>
                <w:rFonts w:ascii="Inter" w:eastAsia="Inter" w:hAnsi="Inter" w:cs="Inter"/>
              </w:rPr>
            </w:pPr>
            <w:r>
              <w:rPr>
                <w:rFonts w:ascii="Inter" w:eastAsia="Inter" w:hAnsi="Inter" w:cs="Inter"/>
                <w:b/>
                <w:bCs/>
                <w:color w:val="FFFFFF"/>
                <w:sz w:val="19"/>
                <w:szCs w:val="19"/>
              </w:rPr>
              <w:t>Criteria Type</w:t>
            </w:r>
          </w:p>
        </w:tc>
      </w:tr>
      <w:tr w:rsidR="003510A4" w14:paraId="5628EE40" w14:textId="77777777">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1702283"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A</w:t>
            </w:r>
          </w:p>
        </w:tc>
        <w:tc>
          <w:tcPr>
            <w:tcW w:w="51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35E8D834" w14:textId="77777777" w:rsidR="003510A4" w:rsidRPr="008D2515" w:rsidRDefault="00FF18D5">
            <w:pPr>
              <w:rPr>
                <w:rFonts w:ascii="Inter" w:eastAsia="Inter" w:hAnsi="Inter" w:cs="Inter"/>
                <w:sz w:val="20"/>
                <w:szCs w:val="20"/>
              </w:rPr>
            </w:pPr>
            <w:r w:rsidRPr="008D2515">
              <w:rPr>
                <w:rFonts w:ascii="Inter" w:eastAsia="Inter" w:hAnsi="Inter" w:cs="Inter"/>
                <w:color w:val="000000"/>
                <w:sz w:val="20"/>
                <w:szCs w:val="20"/>
              </w:rPr>
              <w:t>Project Overview &amp; Organizational Qualifications</w:t>
            </w:r>
          </w:p>
        </w:tc>
        <w:tc>
          <w:tcPr>
            <w:tcW w:w="144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0BB09D9" w14:textId="77777777" w:rsidR="003510A4" w:rsidRPr="008D2515" w:rsidRDefault="00FF18D5">
            <w:pPr>
              <w:jc w:val="center"/>
              <w:rPr>
                <w:rFonts w:ascii="Inter" w:eastAsia="Inter" w:hAnsi="Inter" w:cs="Inter"/>
                <w:sz w:val="20"/>
                <w:szCs w:val="20"/>
              </w:rPr>
            </w:pPr>
            <w:r w:rsidRPr="008D2515">
              <w:rPr>
                <w:rFonts w:ascii="Inter" w:eastAsia="Inter" w:hAnsi="Inter" w:cs="Inter"/>
                <w:b/>
                <w:bCs/>
                <w:color w:val="000000"/>
                <w:sz w:val="20"/>
                <w:szCs w:val="20"/>
              </w:rPr>
              <w:t>26%</w:t>
            </w:r>
          </w:p>
        </w:tc>
        <w:tc>
          <w:tcPr>
            <w:tcW w:w="18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275A432" w14:textId="77777777" w:rsidR="003510A4" w:rsidRPr="008D2515" w:rsidRDefault="00FF18D5">
            <w:pPr>
              <w:rPr>
                <w:rFonts w:ascii="Inter" w:eastAsia="Inter" w:hAnsi="Inter" w:cs="Inter"/>
                <w:sz w:val="19"/>
                <w:szCs w:val="19"/>
              </w:rPr>
            </w:pPr>
            <w:r w:rsidRPr="008D2515">
              <w:rPr>
                <w:rFonts w:ascii="Inter" w:eastAsia="Inter" w:hAnsi="Inter" w:cs="Inter"/>
                <w:color w:val="595959"/>
                <w:sz w:val="19"/>
                <w:szCs w:val="19"/>
              </w:rPr>
              <w:t>Scored</w:t>
            </w:r>
          </w:p>
        </w:tc>
      </w:tr>
      <w:tr w:rsidR="003510A4" w14:paraId="427F6F04" w14:textId="77777777">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B48F027"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B</w:t>
            </w:r>
          </w:p>
        </w:tc>
        <w:tc>
          <w:tcPr>
            <w:tcW w:w="517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831FF61" w14:textId="77777777" w:rsidR="003510A4" w:rsidRPr="008D2515" w:rsidRDefault="00FF18D5">
            <w:pPr>
              <w:rPr>
                <w:rFonts w:ascii="Inter" w:eastAsia="Inter" w:hAnsi="Inter" w:cs="Inter"/>
                <w:sz w:val="20"/>
                <w:szCs w:val="20"/>
              </w:rPr>
            </w:pPr>
            <w:r w:rsidRPr="008D2515">
              <w:rPr>
                <w:rFonts w:ascii="Inter" w:eastAsia="Inter" w:hAnsi="Inter" w:cs="Inter"/>
                <w:color w:val="000000"/>
                <w:sz w:val="20"/>
                <w:szCs w:val="20"/>
              </w:rPr>
              <w:t>GHG Reduction &amp; Climate Impact</w:t>
            </w:r>
          </w:p>
        </w:tc>
        <w:tc>
          <w:tcPr>
            <w:tcW w:w="144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11F05C6"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22%</w:t>
            </w:r>
          </w:p>
        </w:tc>
        <w:tc>
          <w:tcPr>
            <w:tcW w:w="18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E2D7F74" w14:textId="77777777" w:rsidR="003510A4" w:rsidRPr="008D2515" w:rsidRDefault="00FF18D5">
            <w:pPr>
              <w:rPr>
                <w:rFonts w:ascii="Inter" w:eastAsia="Inter" w:hAnsi="Inter" w:cs="Inter"/>
                <w:sz w:val="19"/>
                <w:szCs w:val="19"/>
              </w:rPr>
            </w:pPr>
            <w:r w:rsidRPr="008D2515">
              <w:rPr>
                <w:rFonts w:ascii="Inter" w:eastAsia="Inter" w:hAnsi="Inter" w:cs="Inter"/>
                <w:color w:val="595959"/>
                <w:sz w:val="19"/>
                <w:szCs w:val="19"/>
              </w:rPr>
              <w:t>Scored</w:t>
            </w:r>
          </w:p>
        </w:tc>
      </w:tr>
      <w:tr w:rsidR="003510A4" w14:paraId="461D256E" w14:textId="77777777">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DD2B92E"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C</w:t>
            </w:r>
          </w:p>
        </w:tc>
        <w:tc>
          <w:tcPr>
            <w:tcW w:w="517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816F38E" w14:textId="77777777" w:rsidR="003510A4" w:rsidRPr="008D2515" w:rsidRDefault="00FF18D5">
            <w:pPr>
              <w:rPr>
                <w:rFonts w:ascii="Inter" w:eastAsia="Inter" w:hAnsi="Inter" w:cs="Inter"/>
                <w:sz w:val="20"/>
                <w:szCs w:val="20"/>
              </w:rPr>
            </w:pPr>
            <w:r w:rsidRPr="008D2515">
              <w:rPr>
                <w:rFonts w:ascii="Inter" w:eastAsia="Inter" w:hAnsi="Inter" w:cs="Inter"/>
                <w:color w:val="000000"/>
                <w:sz w:val="20"/>
                <w:szCs w:val="20"/>
              </w:rPr>
              <w:t xml:space="preserve">Energy Equity &amp; Impact to Customers </w:t>
            </w:r>
          </w:p>
        </w:tc>
        <w:tc>
          <w:tcPr>
            <w:tcW w:w="144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38A39E4"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37%</w:t>
            </w:r>
          </w:p>
        </w:tc>
        <w:tc>
          <w:tcPr>
            <w:tcW w:w="18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8DBDF95" w14:textId="77777777" w:rsidR="003510A4" w:rsidRPr="008D2515" w:rsidRDefault="00FF18D5">
            <w:pPr>
              <w:rPr>
                <w:rFonts w:ascii="Inter" w:eastAsia="Inter" w:hAnsi="Inter" w:cs="Inter"/>
                <w:sz w:val="19"/>
                <w:szCs w:val="19"/>
              </w:rPr>
            </w:pPr>
            <w:r w:rsidRPr="008D2515">
              <w:rPr>
                <w:rFonts w:ascii="Inter" w:eastAsia="Inter" w:hAnsi="Inter" w:cs="Inter"/>
                <w:color w:val="595959"/>
                <w:sz w:val="19"/>
                <w:szCs w:val="19"/>
              </w:rPr>
              <w:t>Scored</w:t>
            </w:r>
          </w:p>
        </w:tc>
      </w:tr>
      <w:tr w:rsidR="003510A4" w14:paraId="69642B01" w14:textId="77777777">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731BFAE"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D</w:t>
            </w:r>
          </w:p>
        </w:tc>
        <w:tc>
          <w:tcPr>
            <w:tcW w:w="517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A93646D" w14:textId="77777777" w:rsidR="003510A4" w:rsidRPr="008D2515" w:rsidRDefault="00FF18D5">
            <w:pPr>
              <w:rPr>
                <w:rFonts w:ascii="Inter" w:eastAsia="Inter" w:hAnsi="Inter" w:cs="Inter"/>
                <w:sz w:val="20"/>
                <w:szCs w:val="20"/>
              </w:rPr>
            </w:pPr>
            <w:r w:rsidRPr="008D2515">
              <w:rPr>
                <w:rFonts w:ascii="Inter" w:eastAsia="Inter" w:hAnsi="Inter" w:cs="Inter"/>
                <w:color w:val="000000"/>
                <w:sz w:val="20"/>
                <w:szCs w:val="20"/>
              </w:rPr>
              <w:t>Domain-Specific Technical Criteria</w:t>
            </w:r>
          </w:p>
        </w:tc>
        <w:tc>
          <w:tcPr>
            <w:tcW w:w="144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380B139" w14:textId="77777777" w:rsidR="003510A4" w:rsidRPr="008D2515" w:rsidRDefault="00FF18D5">
            <w:pPr>
              <w:jc w:val="center"/>
              <w:rPr>
                <w:rFonts w:ascii="Inter" w:eastAsia="Inter" w:hAnsi="Inter" w:cs="Inter"/>
                <w:sz w:val="20"/>
                <w:szCs w:val="20"/>
              </w:rPr>
            </w:pPr>
            <w:r w:rsidRPr="008D2515">
              <w:rPr>
                <w:rFonts w:ascii="Inter" w:eastAsia="Inter" w:hAnsi="Inter" w:cs="Inter"/>
                <w:b/>
                <w:bCs/>
                <w:sz w:val="20"/>
                <w:szCs w:val="20"/>
              </w:rPr>
              <w:t>15</w:t>
            </w:r>
            <w:r w:rsidRPr="008D2515">
              <w:rPr>
                <w:rFonts w:ascii="Inter" w:eastAsia="Inter" w:hAnsi="Inter" w:cs="Inter"/>
                <w:b/>
                <w:bCs/>
                <w:color w:val="000000"/>
                <w:sz w:val="20"/>
                <w:szCs w:val="20"/>
              </w:rPr>
              <w:t>%</w:t>
            </w:r>
          </w:p>
        </w:tc>
        <w:tc>
          <w:tcPr>
            <w:tcW w:w="18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B1B8257" w14:textId="77777777" w:rsidR="003510A4" w:rsidRPr="008D2515" w:rsidRDefault="00FF18D5">
            <w:pPr>
              <w:rPr>
                <w:rFonts w:ascii="Inter" w:eastAsia="Inter" w:hAnsi="Inter" w:cs="Inter"/>
                <w:sz w:val="19"/>
                <w:szCs w:val="19"/>
              </w:rPr>
            </w:pPr>
            <w:r w:rsidRPr="008D2515">
              <w:rPr>
                <w:rFonts w:ascii="Inter" w:eastAsia="Inter" w:hAnsi="Inter" w:cs="Inter"/>
                <w:color w:val="595959"/>
                <w:sz w:val="19"/>
                <w:szCs w:val="19"/>
              </w:rPr>
              <w:t>Scored by domain</w:t>
            </w:r>
          </w:p>
        </w:tc>
      </w:tr>
      <w:tr w:rsidR="003510A4" w14:paraId="1A743D9D" w14:textId="77777777">
        <w:tc>
          <w:tcPr>
            <w:tcW w:w="855"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42D2B8AE" w14:textId="77777777" w:rsidR="003510A4" w:rsidRPr="008D2515" w:rsidRDefault="003510A4">
            <w:pPr>
              <w:rPr>
                <w:rFonts w:ascii="Inter" w:eastAsia="Inter" w:hAnsi="Inter" w:cs="Inter"/>
                <w:sz w:val="20"/>
                <w:szCs w:val="20"/>
              </w:rPr>
            </w:pPr>
          </w:p>
        </w:tc>
        <w:tc>
          <w:tcPr>
            <w:tcW w:w="5170"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2903B398" w14:textId="77777777" w:rsidR="003510A4" w:rsidRPr="008D2515" w:rsidRDefault="00FF18D5">
            <w:pPr>
              <w:jc w:val="right"/>
              <w:rPr>
                <w:rFonts w:ascii="Inter" w:eastAsia="Inter" w:hAnsi="Inter" w:cs="Inter"/>
                <w:sz w:val="20"/>
                <w:szCs w:val="20"/>
              </w:rPr>
            </w:pPr>
            <w:r w:rsidRPr="008D2515">
              <w:rPr>
                <w:rFonts w:ascii="Inter" w:eastAsia="Inter" w:hAnsi="Inter" w:cs="Inter"/>
                <w:b/>
                <w:bCs/>
                <w:color w:val="000000"/>
                <w:sz w:val="20"/>
                <w:szCs w:val="20"/>
              </w:rPr>
              <w:t>TOTAL</w:t>
            </w:r>
          </w:p>
        </w:tc>
        <w:tc>
          <w:tcPr>
            <w:tcW w:w="1440"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0E0D9388" w14:textId="77777777" w:rsidR="003510A4" w:rsidRPr="008D2515" w:rsidRDefault="00FF18D5">
            <w:pPr>
              <w:jc w:val="center"/>
              <w:rPr>
                <w:rFonts w:ascii="Inter" w:eastAsia="Inter" w:hAnsi="Inter" w:cs="Inter"/>
                <w:sz w:val="20"/>
                <w:szCs w:val="20"/>
              </w:rPr>
            </w:pPr>
            <w:r w:rsidRPr="008D2515">
              <w:rPr>
                <w:rFonts w:ascii="Inter" w:eastAsia="Inter" w:hAnsi="Inter" w:cs="Inter"/>
                <w:b/>
                <w:bCs/>
                <w:color w:val="000000"/>
                <w:sz w:val="20"/>
                <w:szCs w:val="20"/>
              </w:rPr>
              <w:t>100%</w:t>
            </w:r>
          </w:p>
        </w:tc>
        <w:tc>
          <w:tcPr>
            <w:tcW w:w="1895"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39E17C8F" w14:textId="77777777" w:rsidR="003510A4" w:rsidRDefault="003510A4">
            <w:pPr>
              <w:rPr>
                <w:rFonts w:ascii="Inter" w:eastAsia="Inter" w:hAnsi="Inter" w:cs="Inter"/>
              </w:rPr>
            </w:pPr>
          </w:p>
        </w:tc>
      </w:tr>
    </w:tbl>
    <w:p w14:paraId="786C6455" w14:textId="77777777" w:rsidR="003510A4" w:rsidRDefault="003510A4">
      <w:pPr>
        <w:spacing w:before="60"/>
        <w:rPr>
          <w:rFonts w:ascii="Inter" w:eastAsia="Inter" w:hAnsi="Inter" w:cs="Inter"/>
        </w:rPr>
      </w:pPr>
    </w:p>
    <w:p w14:paraId="715208D6" w14:textId="77777777" w:rsidR="003510A4" w:rsidRDefault="00FF18D5">
      <w:pPr>
        <w:rPr>
          <w:rFonts w:ascii="Inter" w:eastAsia="Inter" w:hAnsi="Inter" w:cs="Inter"/>
        </w:rPr>
      </w:pPr>
      <w:r>
        <w:br w:type="page"/>
      </w:r>
    </w:p>
    <w:p w14:paraId="7329F299" w14:textId="77777777" w:rsidR="003510A4" w:rsidRDefault="00FF18D5">
      <w:pPr>
        <w:pStyle w:val="Heading1"/>
        <w:rPr>
          <w:rFonts w:ascii="Inter" w:eastAsia="Inter" w:hAnsi="Inter" w:cs="Inter"/>
          <w:color w:val="000000"/>
        </w:rPr>
      </w:pPr>
      <w:r>
        <w:rPr>
          <w:rFonts w:ascii="Inter" w:eastAsia="Inter" w:hAnsi="Inter" w:cs="Inter"/>
          <w:color w:val="000000"/>
        </w:rPr>
        <w:lastRenderedPageBreak/>
        <w:t>Evaluation Principles</w:t>
      </w:r>
    </w:p>
    <w:tbl>
      <w:tblPr>
        <w:tblStyle w:val="a0"/>
        <w:tblW w:w="10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065"/>
        <w:gridCol w:w="2220"/>
      </w:tblGrid>
      <w:tr w:rsidR="003510A4" w14:paraId="76099CC8" w14:textId="77777777">
        <w:tc>
          <w:tcPr>
            <w:tcW w:w="9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2B4CD756" w14:textId="77777777" w:rsidR="003510A4" w:rsidRDefault="00FF18D5">
            <w:pPr>
              <w:jc w:val="center"/>
              <w:rPr>
                <w:rFonts w:ascii="Inter" w:eastAsia="Inter" w:hAnsi="Inter" w:cs="Inter"/>
              </w:rPr>
            </w:pPr>
            <w:r>
              <w:rPr>
                <w:rFonts w:ascii="Inter" w:eastAsia="Inter" w:hAnsi="Inter" w:cs="Inter"/>
                <w:b/>
                <w:bCs/>
                <w:color w:val="FFFFFF"/>
                <w:sz w:val="26"/>
                <w:szCs w:val="26"/>
              </w:rPr>
              <w:t>A</w:t>
            </w:r>
          </w:p>
        </w:tc>
        <w:tc>
          <w:tcPr>
            <w:tcW w:w="7065"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3DEDCC8B" w14:textId="77777777" w:rsidR="003510A4" w:rsidRDefault="00FF18D5">
            <w:pPr>
              <w:rPr>
                <w:rFonts w:ascii="Inter" w:eastAsia="Inter" w:hAnsi="Inter" w:cs="Inter"/>
              </w:rPr>
            </w:pPr>
            <w:r>
              <w:rPr>
                <w:rFonts w:ascii="Inter" w:eastAsia="Inter" w:hAnsi="Inter" w:cs="Inter"/>
                <w:b/>
                <w:bCs/>
                <w:color w:val="FFFFFF"/>
                <w:sz w:val="24"/>
                <w:szCs w:val="24"/>
              </w:rPr>
              <w:t>Project Overview &amp; Organizational Qualifications</w:t>
            </w:r>
          </w:p>
        </w:tc>
        <w:tc>
          <w:tcPr>
            <w:tcW w:w="222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66CCC337" w14:textId="77777777" w:rsidR="003510A4" w:rsidRDefault="00FF18D5">
            <w:pPr>
              <w:jc w:val="center"/>
              <w:rPr>
                <w:rFonts w:ascii="Inter" w:eastAsia="Inter" w:hAnsi="Inter" w:cs="Inter"/>
              </w:rPr>
            </w:pPr>
            <w:r>
              <w:rPr>
                <w:rFonts w:ascii="Inter" w:eastAsia="Inter" w:hAnsi="Inter" w:cs="Inter"/>
                <w:b/>
                <w:bCs/>
                <w:color w:val="FFFFFF"/>
                <w:sz w:val="17"/>
                <w:szCs w:val="17"/>
              </w:rPr>
              <w:t>Weight</w:t>
            </w:r>
          </w:p>
          <w:p w14:paraId="586A0333" w14:textId="77777777" w:rsidR="003510A4" w:rsidRDefault="00FF18D5">
            <w:pPr>
              <w:jc w:val="center"/>
              <w:rPr>
                <w:rFonts w:ascii="Inter" w:eastAsia="Inter" w:hAnsi="Inter" w:cs="Inter"/>
              </w:rPr>
            </w:pPr>
            <w:r>
              <w:rPr>
                <w:rFonts w:ascii="Inter" w:eastAsia="Inter" w:hAnsi="Inter" w:cs="Inter"/>
                <w:b/>
                <w:bCs/>
                <w:color w:val="FFFFFF"/>
                <w:sz w:val="24"/>
                <w:szCs w:val="24"/>
              </w:rPr>
              <w:t>26%</w:t>
            </w:r>
          </w:p>
        </w:tc>
      </w:tr>
    </w:tbl>
    <w:p w14:paraId="69D09C04" w14:textId="77777777" w:rsidR="003510A4" w:rsidRDefault="003510A4">
      <w:pPr>
        <w:spacing w:after="80"/>
        <w:rPr>
          <w:rFonts w:ascii="Inter" w:eastAsia="Inter" w:hAnsi="Inter" w:cs="Inter"/>
        </w:rPr>
      </w:pPr>
    </w:p>
    <w:p w14:paraId="02FE2CEF" w14:textId="722536CC" w:rsidR="003510A4" w:rsidRDefault="00FF18D5">
      <w:pPr>
        <w:spacing w:after="80"/>
        <w:rPr>
          <w:rFonts w:ascii="Inter" w:eastAsia="Inter" w:hAnsi="Inter" w:cs="Inter"/>
          <w:color w:val="000000"/>
          <w:sz w:val="20"/>
          <w:szCs w:val="20"/>
          <w:lang w:val="en-US"/>
        </w:rPr>
      </w:pPr>
      <w:r w:rsidRPr="52A52F4F">
        <w:rPr>
          <w:rFonts w:ascii="Inter" w:eastAsia="Inter" w:hAnsi="Inter" w:cs="Inter"/>
          <w:color w:val="000000" w:themeColor="text1"/>
          <w:sz w:val="20"/>
          <w:szCs w:val="20"/>
          <w:lang w:val="en-US"/>
        </w:rPr>
        <w:t xml:space="preserve">Assesses whether the proposing organization and project concept are technically and </w:t>
      </w:r>
      <w:r w:rsidRPr="52A52F4F">
        <w:rPr>
          <w:rFonts w:ascii="Inter" w:eastAsia="Inter" w:hAnsi="Inter" w:cs="Inter"/>
          <w:sz w:val="20"/>
          <w:szCs w:val="20"/>
          <w:lang w:val="en-US"/>
        </w:rPr>
        <w:t>operationally</w:t>
      </w:r>
      <w:r w:rsidRPr="52A52F4F">
        <w:rPr>
          <w:rFonts w:ascii="Inter" w:eastAsia="Inter" w:hAnsi="Inter" w:cs="Inter"/>
          <w:color w:val="000000" w:themeColor="text1"/>
          <w:sz w:val="20"/>
          <w:szCs w:val="20"/>
          <w:lang w:val="en-US"/>
        </w:rPr>
        <w:t xml:space="preserve"> credible and feasible and can be effectively delivered. </w:t>
      </w:r>
    </w:p>
    <w:p w14:paraId="6C0E7A61" w14:textId="77777777" w:rsidR="003510A4" w:rsidRDefault="003510A4">
      <w:pPr>
        <w:spacing w:after="80"/>
        <w:rPr>
          <w:rFonts w:ascii="Inter" w:eastAsia="Inter" w:hAnsi="Inter" w:cs="Inter"/>
          <w:sz w:val="20"/>
          <w:szCs w:val="20"/>
        </w:rPr>
      </w:pPr>
    </w:p>
    <w:tbl>
      <w:tblPr>
        <w:tblStyle w:val="a1"/>
        <w:tblW w:w="102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2185"/>
        <w:gridCol w:w="6395"/>
        <w:gridCol w:w="1035"/>
      </w:tblGrid>
      <w:tr w:rsidR="003510A4" w14:paraId="6EBF493A" w14:textId="77777777" w:rsidTr="00467CA5">
        <w:tc>
          <w:tcPr>
            <w:tcW w:w="600"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0279C5DE" w14:textId="77777777" w:rsidR="003510A4" w:rsidRDefault="00FF18D5">
            <w:pPr>
              <w:rPr>
                <w:rFonts w:ascii="Inter" w:eastAsia="Inter" w:hAnsi="Inter" w:cs="Inter"/>
              </w:rPr>
            </w:pPr>
            <w:r>
              <w:rPr>
                <w:rFonts w:ascii="Inter" w:eastAsia="Inter" w:hAnsi="Inter" w:cs="Inter"/>
                <w:b/>
                <w:bCs/>
                <w:color w:val="FFFFFF"/>
                <w:sz w:val="19"/>
                <w:szCs w:val="19"/>
              </w:rPr>
              <w:t>ID</w:t>
            </w:r>
          </w:p>
        </w:tc>
        <w:tc>
          <w:tcPr>
            <w:tcW w:w="2185"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14A88BF9" w14:textId="77777777" w:rsidR="003510A4" w:rsidRDefault="00FF18D5">
            <w:pPr>
              <w:rPr>
                <w:rFonts w:ascii="Inter" w:eastAsia="Inter" w:hAnsi="Inter" w:cs="Inter"/>
              </w:rPr>
            </w:pPr>
            <w:r>
              <w:rPr>
                <w:rFonts w:ascii="Inter" w:eastAsia="Inter" w:hAnsi="Inter" w:cs="Inter"/>
                <w:b/>
                <w:bCs/>
                <w:color w:val="FFFFFF"/>
                <w:sz w:val="19"/>
                <w:szCs w:val="19"/>
              </w:rPr>
              <w:t>Criterion</w:t>
            </w:r>
          </w:p>
        </w:tc>
        <w:tc>
          <w:tcPr>
            <w:tcW w:w="6395"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210E9D63" w14:textId="77777777" w:rsidR="003510A4" w:rsidRDefault="00FF18D5">
            <w:pPr>
              <w:rPr>
                <w:rFonts w:ascii="Inter" w:eastAsia="Inter" w:hAnsi="Inter" w:cs="Inter"/>
              </w:rPr>
            </w:pPr>
            <w:r>
              <w:rPr>
                <w:rFonts w:ascii="Inter" w:eastAsia="Inter" w:hAnsi="Inter" w:cs="Inter"/>
                <w:b/>
                <w:bCs/>
                <w:color w:val="FFFFFF"/>
                <w:sz w:val="19"/>
                <w:szCs w:val="19"/>
              </w:rPr>
              <w:t>Description</w:t>
            </w:r>
          </w:p>
        </w:tc>
        <w:tc>
          <w:tcPr>
            <w:tcW w:w="1035" w:type="dxa"/>
            <w:tcBorders>
              <w:top w:val="single" w:sz="4" w:space="0" w:color="1F3864"/>
              <w:left w:val="single" w:sz="4" w:space="0" w:color="1F3864"/>
              <w:bottom w:val="single" w:sz="4" w:space="0" w:color="1F3864"/>
              <w:right w:val="single" w:sz="4" w:space="0" w:color="1F3864"/>
            </w:tcBorders>
            <w:shd w:val="clear" w:color="auto" w:fill="1F3864"/>
            <w:tcMar>
              <w:top w:w="80" w:type="dxa"/>
              <w:left w:w="120" w:type="dxa"/>
              <w:bottom w:w="80" w:type="dxa"/>
              <w:right w:w="120" w:type="dxa"/>
            </w:tcMar>
          </w:tcPr>
          <w:p w14:paraId="48B8A5D9" w14:textId="77777777" w:rsidR="003510A4" w:rsidRDefault="00FF18D5">
            <w:pPr>
              <w:jc w:val="center"/>
              <w:rPr>
                <w:rFonts w:ascii="Inter" w:eastAsia="Inter" w:hAnsi="Inter" w:cs="Inter"/>
              </w:rPr>
            </w:pPr>
            <w:r>
              <w:rPr>
                <w:rFonts w:ascii="Inter" w:eastAsia="Inter" w:hAnsi="Inter" w:cs="Inter"/>
                <w:b/>
                <w:bCs/>
                <w:color w:val="FFFFFF"/>
                <w:sz w:val="19"/>
                <w:szCs w:val="19"/>
              </w:rPr>
              <w:t>Points</w:t>
            </w:r>
          </w:p>
        </w:tc>
      </w:tr>
      <w:tr w:rsidR="003510A4" w14:paraId="63888D49"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B691647"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A1</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9888453" w14:textId="77777777" w:rsidR="003510A4" w:rsidRPr="008D2515" w:rsidRDefault="00FF18D5">
            <w:pPr>
              <w:rPr>
                <w:rFonts w:ascii="Inter" w:eastAsia="Inter" w:hAnsi="Inter" w:cs="Inter"/>
                <w:sz w:val="19"/>
                <w:szCs w:val="19"/>
              </w:rPr>
            </w:pPr>
            <w:r w:rsidRPr="008D2515">
              <w:rPr>
                <w:rFonts w:ascii="Inter" w:eastAsia="Inter" w:hAnsi="Inter" w:cs="Inter"/>
                <w:b/>
                <w:bCs/>
                <w:color w:val="000000"/>
                <w:sz w:val="19"/>
                <w:szCs w:val="19"/>
              </w:rPr>
              <w:t>Project Description &amp; Technical Approach</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5493886" w14:textId="77777777" w:rsidR="003510A4" w:rsidRPr="008D2515" w:rsidRDefault="00FF18D5">
            <w:pPr>
              <w:rPr>
                <w:rFonts w:ascii="Inter" w:eastAsia="Inter" w:hAnsi="Inter" w:cs="Inter"/>
                <w:sz w:val="19"/>
                <w:szCs w:val="19"/>
              </w:rPr>
            </w:pPr>
            <w:r w:rsidRPr="008D2515">
              <w:rPr>
                <w:rFonts w:ascii="Inter" w:eastAsia="Inter" w:hAnsi="Inter" w:cs="Inter"/>
                <w:color w:val="000000"/>
                <w:sz w:val="19"/>
                <w:szCs w:val="19"/>
              </w:rPr>
              <w:t>Clarity, completeness, and technical soundness of the project description. Does the proposal clearly articulate what will be done, how, in what location(s), and what outcomes are expected?</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50A3463"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1</w:t>
            </w:r>
          </w:p>
        </w:tc>
      </w:tr>
      <w:tr w:rsidR="003510A4" w14:paraId="789B55DA"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8A102C3"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A2</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3F3B321" w14:textId="77777777" w:rsidR="003510A4" w:rsidRPr="008D2515" w:rsidRDefault="00FF18D5">
            <w:pPr>
              <w:rPr>
                <w:rFonts w:ascii="Inter" w:eastAsia="Inter" w:hAnsi="Inter" w:cs="Inter"/>
                <w:sz w:val="19"/>
                <w:szCs w:val="19"/>
              </w:rPr>
            </w:pPr>
            <w:r w:rsidRPr="008D2515">
              <w:rPr>
                <w:rFonts w:ascii="Inter" w:eastAsia="Inter" w:hAnsi="Inter" w:cs="Inter"/>
                <w:b/>
                <w:bCs/>
                <w:color w:val="000000"/>
                <w:sz w:val="19"/>
                <w:szCs w:val="19"/>
              </w:rPr>
              <w:t>Qualifications &amp; Track Record</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72BCCFB" w14:textId="77777777" w:rsidR="003510A4" w:rsidRPr="008D2515" w:rsidRDefault="00FF18D5">
            <w:pPr>
              <w:rPr>
                <w:rFonts w:ascii="Inter" w:eastAsia="Inter" w:hAnsi="Inter" w:cs="Inter"/>
                <w:sz w:val="19"/>
                <w:szCs w:val="19"/>
              </w:rPr>
            </w:pPr>
            <w:r w:rsidRPr="008D2515">
              <w:rPr>
                <w:rFonts w:ascii="Inter" w:eastAsia="Inter" w:hAnsi="Inter" w:cs="Inter"/>
                <w:color w:val="000000"/>
                <w:sz w:val="19"/>
                <w:szCs w:val="19"/>
              </w:rPr>
              <w:t>Demonstrated experience with analogous projects; relevant certifications or accreditations; past performance evidence.</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663AAC6"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5</w:t>
            </w:r>
          </w:p>
        </w:tc>
      </w:tr>
      <w:tr w:rsidR="003510A4" w14:paraId="74179EAF"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A3989EC"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A3</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C6D1AFF" w14:textId="77777777" w:rsidR="003510A4" w:rsidRPr="008D2515" w:rsidRDefault="00FF18D5">
            <w:pPr>
              <w:rPr>
                <w:rFonts w:ascii="Inter" w:eastAsia="Inter" w:hAnsi="Inter" w:cs="Inter"/>
                <w:sz w:val="19"/>
                <w:szCs w:val="19"/>
              </w:rPr>
            </w:pPr>
            <w:r w:rsidRPr="008D2515">
              <w:rPr>
                <w:rFonts w:ascii="Inter" w:eastAsia="Inter" w:hAnsi="Inter" w:cs="Inter"/>
                <w:b/>
                <w:bCs/>
                <w:color w:val="000000"/>
                <w:sz w:val="19"/>
                <w:szCs w:val="19"/>
              </w:rPr>
              <w:t>Implementation Plan, Project Management, Timeline &amp; Milestones</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0B170A4" w14:textId="77777777" w:rsidR="003510A4" w:rsidRPr="008D2515" w:rsidRDefault="00FF18D5">
            <w:pPr>
              <w:rPr>
                <w:rFonts w:ascii="Inter" w:eastAsia="Inter" w:hAnsi="Inter" w:cs="Inter"/>
                <w:sz w:val="19"/>
                <w:szCs w:val="19"/>
                <w:lang w:val="en-US"/>
              </w:rPr>
            </w:pPr>
            <w:r w:rsidRPr="52A52F4F">
              <w:rPr>
                <w:rFonts w:ascii="Inter" w:eastAsia="Inter" w:hAnsi="Inter" w:cs="Inter"/>
                <w:color w:val="000000" w:themeColor="text1"/>
                <w:sz w:val="19"/>
                <w:szCs w:val="19"/>
                <w:lang w:val="en-US"/>
              </w:rPr>
              <w:t>Specificity and realism of implementation schedule; clear milestones; key personnel</w:t>
            </w:r>
            <w:r w:rsidRPr="52A52F4F">
              <w:rPr>
                <w:rFonts w:ascii="Inter" w:eastAsia="Inter" w:hAnsi="Inter" w:cs="Inter"/>
                <w:sz w:val="19"/>
                <w:szCs w:val="19"/>
                <w:lang w:val="en-US"/>
              </w:rPr>
              <w:t>;</w:t>
            </w:r>
            <w:r w:rsidRPr="52A52F4F">
              <w:rPr>
                <w:rFonts w:ascii="Inter" w:eastAsia="Inter" w:hAnsi="Inter" w:cs="Inter"/>
                <w:color w:val="000000" w:themeColor="text1"/>
                <w:sz w:val="19"/>
                <w:szCs w:val="19"/>
                <w:lang w:val="en-US"/>
              </w:rPr>
              <w:t xml:space="preserve"> roles, responsibilities, and subcontractor manag</w:t>
            </w:r>
            <w:r w:rsidRPr="52A52F4F">
              <w:rPr>
                <w:rFonts w:ascii="Inter" w:eastAsia="Inter" w:hAnsi="Inter" w:cs="Inter"/>
                <w:sz w:val="19"/>
                <w:szCs w:val="19"/>
                <w:lang w:val="en-US"/>
              </w:rPr>
              <w:t>ement;</w:t>
            </w:r>
            <w:r w:rsidRPr="52A52F4F">
              <w:rPr>
                <w:rFonts w:ascii="Inter" w:eastAsia="Inter" w:hAnsi="Inter" w:cs="Inter"/>
                <w:color w:val="000000" w:themeColor="text1"/>
                <w:sz w:val="19"/>
                <w:szCs w:val="19"/>
                <w:lang w:val="en-US"/>
              </w:rPr>
              <w:t xml:space="preserve"> demonstrated capacity to execute within the RFP program timeline.</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23B32C6"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6</w:t>
            </w:r>
          </w:p>
        </w:tc>
      </w:tr>
      <w:tr w:rsidR="003510A4" w14:paraId="3E30C3B7"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92F87B9"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A4</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F76B07B" w14:textId="77777777" w:rsidR="003510A4" w:rsidRPr="008D2515" w:rsidRDefault="00FF18D5">
            <w:pPr>
              <w:rPr>
                <w:rFonts w:ascii="Inter" w:eastAsia="Inter" w:hAnsi="Inter" w:cs="Inter"/>
                <w:b/>
                <w:bCs/>
                <w:color w:val="000000"/>
                <w:sz w:val="19"/>
                <w:szCs w:val="19"/>
              </w:rPr>
            </w:pPr>
            <w:r w:rsidRPr="008D2515">
              <w:rPr>
                <w:rFonts w:ascii="Inter" w:eastAsia="Inter" w:hAnsi="Inter" w:cs="Inter"/>
                <w:b/>
                <w:bCs/>
                <w:color w:val="000000"/>
                <w:sz w:val="19"/>
                <w:szCs w:val="19"/>
              </w:rPr>
              <w:t>Labor Practices</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75D2438" w14:textId="77777777" w:rsidR="003510A4" w:rsidRPr="008D2515" w:rsidRDefault="00FF18D5">
            <w:pPr>
              <w:rPr>
                <w:rFonts w:ascii="Inter" w:eastAsia="Inter" w:hAnsi="Inter" w:cs="Inter"/>
                <w:color w:val="000000"/>
                <w:sz w:val="19"/>
                <w:szCs w:val="19"/>
                <w:lang w:val="en-US"/>
              </w:rPr>
            </w:pPr>
            <w:r w:rsidRPr="52A52F4F">
              <w:rPr>
                <w:rFonts w:ascii="Inter" w:eastAsia="Inter" w:hAnsi="Inter" w:cs="Inter"/>
                <w:color w:val="000000" w:themeColor="text1"/>
                <w:sz w:val="19"/>
                <w:szCs w:val="19"/>
                <w:lang w:val="en-US"/>
              </w:rPr>
              <w:t>Evaluates whether the project utilizes fair labor practices. Projects using prevailing wage and/or community workforce agreements will be scored higher.</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B434166"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2</w:t>
            </w:r>
          </w:p>
        </w:tc>
      </w:tr>
      <w:tr w:rsidR="003510A4" w14:paraId="0D9B1D7D"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FD11F44"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A5</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4A96119" w14:textId="77777777" w:rsidR="003510A4" w:rsidRPr="008D2515" w:rsidRDefault="00FF18D5">
            <w:pPr>
              <w:rPr>
                <w:rFonts w:ascii="Inter" w:eastAsia="Inter" w:hAnsi="Inter" w:cs="Inter"/>
                <w:sz w:val="19"/>
                <w:szCs w:val="19"/>
              </w:rPr>
            </w:pPr>
            <w:r w:rsidRPr="008D2515">
              <w:rPr>
                <w:rFonts w:ascii="Inter" w:eastAsia="Inter" w:hAnsi="Inter" w:cs="Inter"/>
                <w:b/>
                <w:bCs/>
                <w:color w:val="000000"/>
                <w:sz w:val="19"/>
                <w:szCs w:val="19"/>
              </w:rPr>
              <w:t>Budget &amp; Cost Reasonableness</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0FEDD6A" w14:textId="77777777" w:rsidR="003510A4" w:rsidRPr="008D2515" w:rsidRDefault="00FF18D5">
            <w:pPr>
              <w:rPr>
                <w:rFonts w:ascii="Inter" w:eastAsia="Inter" w:hAnsi="Inter" w:cs="Inter"/>
                <w:color w:val="000000"/>
                <w:sz w:val="19"/>
                <w:szCs w:val="19"/>
              </w:rPr>
            </w:pPr>
            <w:r w:rsidRPr="008D2515">
              <w:rPr>
                <w:rFonts w:ascii="Inter" w:eastAsia="Inter" w:hAnsi="Inter" w:cs="Inter"/>
                <w:color w:val="000000"/>
                <w:sz w:val="19"/>
                <w:szCs w:val="19"/>
              </w:rPr>
              <w:t>Specificity and reasonableness of cost estimate; budget aligned with stated scope; organizational financial capacity to execute.</w:t>
            </w:r>
          </w:p>
          <w:p w14:paraId="3C810379" w14:textId="77777777" w:rsidR="003510A4" w:rsidRPr="008D2515" w:rsidRDefault="00FF18D5">
            <w:pPr>
              <w:rPr>
                <w:rFonts w:ascii="Inter" w:eastAsia="Inter" w:hAnsi="Inter" w:cs="Inter"/>
                <w:sz w:val="19"/>
                <w:szCs w:val="19"/>
                <w:lang w:val="en-US"/>
              </w:rPr>
            </w:pPr>
            <w:r w:rsidRPr="52A52F4F">
              <w:rPr>
                <w:rFonts w:ascii="Inter" w:eastAsia="Inter" w:hAnsi="Inter" w:cs="Inter"/>
                <w:sz w:val="19"/>
                <w:szCs w:val="19"/>
                <w:lang w:val="en-US"/>
              </w:rPr>
              <w:t xml:space="preserve">Project costs should be clearly articulated and justified with detailed cost breakdown. Separate optional costs should be clearly identified in the proposal. </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C6F1C3D"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3</w:t>
            </w:r>
          </w:p>
        </w:tc>
      </w:tr>
      <w:tr w:rsidR="003510A4" w14:paraId="3A271180"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2C70946"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A6</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8BB7321"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Measurement, Reporting, and Verification (MRV) Methodology for Emissions Reductions</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A3CBBBD"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Rigor and credibility of measurement and verification approach; data collection plan; alignment with recognized protocols; distinction between projected and realized benefits.</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6FB1A27"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4</w:t>
            </w:r>
          </w:p>
        </w:tc>
      </w:tr>
      <w:tr w:rsidR="003510A4" w14:paraId="12BB34F8" w14:textId="77777777" w:rsidTr="00467CA5">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7D73258"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A7</w:t>
            </w:r>
          </w:p>
        </w:tc>
        <w:tc>
          <w:tcPr>
            <w:tcW w:w="21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5B32173"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Risk Identification &amp; Mitigation</w:t>
            </w:r>
          </w:p>
        </w:tc>
        <w:tc>
          <w:tcPr>
            <w:tcW w:w="63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4171D8F"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Quality of safety approach and risk analysis; identification of safety, technical, financial, and implementation risks; proposed mitigation measures; contingency planning.</w:t>
            </w:r>
          </w:p>
        </w:tc>
        <w:tc>
          <w:tcPr>
            <w:tcW w:w="10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5D5B631" w14:textId="77777777" w:rsidR="003510A4" w:rsidRPr="008D2515" w:rsidRDefault="00FF18D5">
            <w:pPr>
              <w:jc w:val="center"/>
              <w:rPr>
                <w:rFonts w:ascii="Inter" w:eastAsia="Inter" w:hAnsi="Inter" w:cs="Inter"/>
                <w:sz w:val="19"/>
                <w:szCs w:val="19"/>
              </w:rPr>
            </w:pPr>
            <w:r w:rsidRPr="008D2515">
              <w:rPr>
                <w:rFonts w:ascii="Inter" w:eastAsia="Inter" w:hAnsi="Inter" w:cs="Inter"/>
                <w:sz w:val="19"/>
                <w:szCs w:val="19"/>
              </w:rPr>
              <w:t>5</w:t>
            </w:r>
          </w:p>
        </w:tc>
      </w:tr>
    </w:tbl>
    <w:p w14:paraId="32EBC64B" w14:textId="77777777" w:rsidR="003510A4" w:rsidRDefault="003510A4">
      <w:pPr>
        <w:spacing w:before="160"/>
        <w:rPr>
          <w:rFonts w:ascii="Inter" w:eastAsia="Inter" w:hAnsi="Inter" w:cs="Inter"/>
        </w:rPr>
      </w:pPr>
    </w:p>
    <w:p w14:paraId="1A22E791" w14:textId="77777777" w:rsidR="003510A4" w:rsidRDefault="00FF18D5">
      <w:pPr>
        <w:rPr>
          <w:rFonts w:ascii="Inter" w:eastAsia="Inter" w:hAnsi="Inter" w:cs="Inter"/>
        </w:rPr>
      </w:pPr>
      <w:r>
        <w:br w:type="page"/>
      </w:r>
    </w:p>
    <w:p w14:paraId="481A619E" w14:textId="77777777" w:rsidR="003510A4" w:rsidRDefault="003510A4">
      <w:pPr>
        <w:spacing w:before="160"/>
        <w:rPr>
          <w:rFonts w:ascii="Inter" w:eastAsia="Inter" w:hAnsi="Inter" w:cs="Inter"/>
        </w:rPr>
      </w:pPr>
    </w:p>
    <w:tbl>
      <w:tblPr>
        <w:tblStyle w:val="a2"/>
        <w:tblW w:w="102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065"/>
        <w:gridCol w:w="2280"/>
      </w:tblGrid>
      <w:tr w:rsidR="003510A4" w14:paraId="6BDEAA89" w14:textId="77777777">
        <w:tc>
          <w:tcPr>
            <w:tcW w:w="900" w:type="dxa"/>
            <w:tcBorders>
              <w:top w:val="single" w:sz="4" w:space="0" w:color="2E5F9A"/>
              <w:left w:val="single" w:sz="4" w:space="0" w:color="2E5F9A"/>
              <w:bottom w:val="single" w:sz="4" w:space="0" w:color="2E5F9A"/>
              <w:right w:val="single" w:sz="4" w:space="0" w:color="2E5F9A"/>
            </w:tcBorders>
            <w:shd w:val="clear" w:color="auto" w:fill="2E5F9A"/>
            <w:tcMar>
              <w:top w:w="80" w:type="dxa"/>
              <w:left w:w="120" w:type="dxa"/>
              <w:bottom w:w="80" w:type="dxa"/>
              <w:right w:w="120" w:type="dxa"/>
            </w:tcMar>
          </w:tcPr>
          <w:p w14:paraId="371FD03A" w14:textId="77777777" w:rsidR="003510A4" w:rsidRDefault="00FF18D5">
            <w:pPr>
              <w:jc w:val="center"/>
              <w:rPr>
                <w:rFonts w:ascii="Inter" w:eastAsia="Inter" w:hAnsi="Inter" w:cs="Inter"/>
              </w:rPr>
            </w:pPr>
            <w:r>
              <w:rPr>
                <w:rFonts w:ascii="Inter" w:eastAsia="Inter" w:hAnsi="Inter" w:cs="Inter"/>
                <w:b/>
                <w:bCs/>
                <w:color w:val="FFFFFF"/>
                <w:sz w:val="26"/>
                <w:szCs w:val="26"/>
              </w:rPr>
              <w:t>B</w:t>
            </w:r>
          </w:p>
        </w:tc>
        <w:tc>
          <w:tcPr>
            <w:tcW w:w="7065" w:type="dxa"/>
            <w:tcBorders>
              <w:top w:val="single" w:sz="4" w:space="0" w:color="2E5F9A"/>
              <w:left w:val="single" w:sz="4" w:space="0" w:color="2E5F9A"/>
              <w:bottom w:val="single" w:sz="4" w:space="0" w:color="2E5F9A"/>
              <w:right w:val="single" w:sz="4" w:space="0" w:color="2E5F9A"/>
            </w:tcBorders>
            <w:shd w:val="clear" w:color="auto" w:fill="2D5F9B"/>
            <w:tcMar>
              <w:top w:w="80" w:type="dxa"/>
              <w:left w:w="120" w:type="dxa"/>
              <w:bottom w:w="80" w:type="dxa"/>
              <w:right w:w="120" w:type="dxa"/>
            </w:tcMar>
          </w:tcPr>
          <w:p w14:paraId="5A841523" w14:textId="77777777" w:rsidR="003510A4" w:rsidRDefault="00FF18D5">
            <w:pPr>
              <w:rPr>
                <w:rFonts w:ascii="Inter" w:eastAsia="Inter" w:hAnsi="Inter" w:cs="Inter"/>
              </w:rPr>
            </w:pPr>
            <w:r>
              <w:rPr>
                <w:rFonts w:ascii="Inter" w:eastAsia="Inter" w:hAnsi="Inter" w:cs="Inter"/>
                <w:b/>
                <w:bCs/>
                <w:color w:val="FFFFFF"/>
                <w:sz w:val="24"/>
                <w:szCs w:val="24"/>
              </w:rPr>
              <w:t>GHG Reduction &amp; Climate Impact</w:t>
            </w:r>
          </w:p>
        </w:tc>
        <w:tc>
          <w:tcPr>
            <w:tcW w:w="2280" w:type="dxa"/>
            <w:tcBorders>
              <w:top w:val="single" w:sz="4" w:space="0" w:color="2E5F9A"/>
              <w:left w:val="single" w:sz="4" w:space="0" w:color="2E5F9A"/>
              <w:bottom w:val="single" w:sz="4" w:space="0" w:color="2E5F9A"/>
              <w:right w:val="single" w:sz="4" w:space="0" w:color="2E5F9A"/>
            </w:tcBorders>
            <w:shd w:val="clear" w:color="auto" w:fill="2E5F9A"/>
            <w:tcMar>
              <w:top w:w="80" w:type="dxa"/>
              <w:left w:w="120" w:type="dxa"/>
              <w:bottom w:w="80" w:type="dxa"/>
              <w:right w:w="120" w:type="dxa"/>
            </w:tcMar>
          </w:tcPr>
          <w:p w14:paraId="182BD847" w14:textId="77777777" w:rsidR="003510A4" w:rsidRDefault="00FF18D5">
            <w:pPr>
              <w:jc w:val="center"/>
              <w:rPr>
                <w:rFonts w:ascii="Inter" w:eastAsia="Inter" w:hAnsi="Inter" w:cs="Inter"/>
              </w:rPr>
            </w:pPr>
            <w:r>
              <w:rPr>
                <w:rFonts w:ascii="Inter" w:eastAsia="Inter" w:hAnsi="Inter" w:cs="Inter"/>
                <w:b/>
                <w:bCs/>
                <w:color w:val="FFFFFF"/>
                <w:sz w:val="17"/>
                <w:szCs w:val="17"/>
              </w:rPr>
              <w:t>Weight</w:t>
            </w:r>
          </w:p>
          <w:p w14:paraId="6514D93B" w14:textId="77777777" w:rsidR="003510A4" w:rsidRDefault="00FF18D5">
            <w:pPr>
              <w:jc w:val="center"/>
              <w:rPr>
                <w:rFonts w:ascii="Inter" w:eastAsia="Inter" w:hAnsi="Inter" w:cs="Inter"/>
              </w:rPr>
            </w:pPr>
            <w:r>
              <w:rPr>
                <w:rFonts w:ascii="Inter" w:eastAsia="Inter" w:hAnsi="Inter" w:cs="Inter"/>
                <w:b/>
                <w:bCs/>
                <w:color w:val="FFFFFF"/>
                <w:sz w:val="24"/>
                <w:szCs w:val="24"/>
              </w:rPr>
              <w:t>22%</w:t>
            </w:r>
          </w:p>
        </w:tc>
      </w:tr>
    </w:tbl>
    <w:p w14:paraId="58413E82" w14:textId="77777777" w:rsidR="003510A4" w:rsidRDefault="003510A4">
      <w:pPr>
        <w:spacing w:before="40"/>
        <w:rPr>
          <w:rFonts w:ascii="Inter" w:eastAsia="Inter" w:hAnsi="Inter" w:cs="Inter"/>
        </w:rPr>
      </w:pPr>
    </w:p>
    <w:p w14:paraId="5A07DAEA" w14:textId="2DF6B559" w:rsidR="003510A4" w:rsidRDefault="00FF18D5">
      <w:pPr>
        <w:spacing w:after="80"/>
        <w:rPr>
          <w:rFonts w:ascii="Inter" w:eastAsia="Inter" w:hAnsi="Inter" w:cs="Inter"/>
          <w:color w:val="000000"/>
          <w:sz w:val="20"/>
          <w:szCs w:val="20"/>
          <w:lang w:val="en-US"/>
        </w:rPr>
      </w:pPr>
      <w:r w:rsidRPr="52A52F4F">
        <w:rPr>
          <w:rFonts w:ascii="Inter" w:eastAsia="Inter" w:hAnsi="Inter" w:cs="Inter"/>
          <w:color w:val="000000" w:themeColor="text1"/>
          <w:sz w:val="20"/>
          <w:szCs w:val="20"/>
          <w:lang w:val="en-US"/>
        </w:rPr>
        <w:t xml:space="preserve">The core purpose of </w:t>
      </w:r>
      <w:r w:rsidR="00CC2538" w:rsidRPr="52A52F4F">
        <w:rPr>
          <w:rFonts w:ascii="Inter" w:eastAsia="Inter" w:hAnsi="Inter" w:cs="Inter"/>
          <w:color w:val="000000" w:themeColor="text1"/>
          <w:sz w:val="20"/>
          <w:szCs w:val="20"/>
          <w:lang w:val="en-US"/>
        </w:rPr>
        <w:t xml:space="preserve">this RFP </w:t>
      </w:r>
      <w:r w:rsidRPr="52A52F4F">
        <w:rPr>
          <w:rFonts w:ascii="Inter" w:eastAsia="Inter" w:hAnsi="Inter" w:cs="Inter"/>
          <w:color w:val="000000" w:themeColor="text1"/>
          <w:sz w:val="20"/>
          <w:szCs w:val="20"/>
          <w:lang w:val="en-US"/>
        </w:rPr>
        <w:t>is greenhouse gas reduction from Puget Sound Energy</w:t>
      </w:r>
      <w:r w:rsidRPr="52A52F4F">
        <w:rPr>
          <w:rFonts w:ascii="Inter" w:eastAsia="Inter" w:hAnsi="Inter" w:cs="Inter"/>
          <w:sz w:val="20"/>
          <w:szCs w:val="20"/>
          <w:lang w:val="en-US"/>
        </w:rPr>
        <w:t>’s gas distribution system</w:t>
      </w:r>
      <w:r w:rsidRPr="52A52F4F">
        <w:rPr>
          <w:rFonts w:ascii="Inter" w:eastAsia="Inter" w:hAnsi="Inter" w:cs="Inter"/>
          <w:color w:val="000000" w:themeColor="text1"/>
          <w:sz w:val="20"/>
          <w:szCs w:val="20"/>
          <w:lang w:val="en-US"/>
        </w:rPr>
        <w:t>. This Principle assesses both the quantity of emissions reduced and the quality of the underlying methodology. CO</w:t>
      </w:r>
      <w:r w:rsidRPr="52A52F4F">
        <w:rPr>
          <w:rFonts w:ascii="Inter" w:eastAsia="Inter" w:hAnsi="Inter" w:cs="Inter"/>
          <w:color w:val="000000" w:themeColor="text1"/>
          <w:sz w:val="20"/>
          <w:szCs w:val="20"/>
          <w:vertAlign w:val="subscript"/>
          <w:lang w:val="en-US"/>
        </w:rPr>
        <w:t>2</w:t>
      </w:r>
      <w:r w:rsidRPr="52A52F4F">
        <w:rPr>
          <w:rFonts w:ascii="Inter" w:eastAsia="Inter" w:hAnsi="Inter" w:cs="Inter"/>
          <w:color w:val="000000" w:themeColor="text1"/>
          <w:sz w:val="20"/>
          <w:szCs w:val="20"/>
          <w:lang w:val="en-US"/>
        </w:rPr>
        <w:t xml:space="preserve">e is the primary metric for this RFP, consistent with </w:t>
      </w:r>
      <w:r w:rsidR="00892D46" w:rsidRPr="52A52F4F">
        <w:rPr>
          <w:rFonts w:ascii="Inter" w:eastAsia="Inter" w:hAnsi="Inter" w:cs="Inter"/>
          <w:color w:val="000000" w:themeColor="text1"/>
          <w:sz w:val="20"/>
          <w:szCs w:val="20"/>
          <w:lang w:val="en-US"/>
        </w:rPr>
        <w:t>Climate Commitment Act (</w:t>
      </w:r>
      <w:r w:rsidRPr="52A52F4F">
        <w:rPr>
          <w:rFonts w:ascii="Inter" w:eastAsia="Inter" w:hAnsi="Inter" w:cs="Inter"/>
          <w:color w:val="000000" w:themeColor="text1"/>
          <w:sz w:val="20"/>
          <w:szCs w:val="20"/>
          <w:lang w:val="en-US"/>
        </w:rPr>
        <w:t>CCA</w:t>
      </w:r>
      <w:r w:rsidR="00892D46" w:rsidRPr="52A52F4F">
        <w:rPr>
          <w:rFonts w:ascii="Inter" w:eastAsia="Inter" w:hAnsi="Inter" w:cs="Inter"/>
          <w:color w:val="000000" w:themeColor="text1"/>
          <w:sz w:val="20"/>
          <w:szCs w:val="20"/>
          <w:lang w:val="en-US"/>
        </w:rPr>
        <w:t>)</w:t>
      </w:r>
      <w:r w:rsidRPr="52A52F4F">
        <w:rPr>
          <w:rFonts w:ascii="Inter" w:eastAsia="Inter" w:hAnsi="Inter" w:cs="Inter"/>
          <w:color w:val="000000" w:themeColor="text1"/>
          <w:sz w:val="20"/>
          <w:szCs w:val="20"/>
          <w:lang w:val="en-US"/>
        </w:rPr>
        <w:t xml:space="preserve"> compliance accounting.</w:t>
      </w:r>
    </w:p>
    <w:p w14:paraId="7A662D1A" w14:textId="77777777" w:rsidR="003510A4" w:rsidRDefault="003510A4">
      <w:pPr>
        <w:spacing w:after="80"/>
        <w:rPr>
          <w:rFonts w:ascii="Inter" w:eastAsia="Inter" w:hAnsi="Inter" w:cs="Inter"/>
          <w:sz w:val="20"/>
          <w:szCs w:val="20"/>
        </w:rPr>
      </w:pPr>
    </w:p>
    <w:tbl>
      <w:tblPr>
        <w:tblStyle w:val="a3"/>
        <w:tblW w:w="100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1480"/>
        <w:gridCol w:w="7055"/>
        <w:gridCol w:w="885"/>
      </w:tblGrid>
      <w:tr w:rsidR="003510A4" w14:paraId="418D0CCD" w14:textId="77777777">
        <w:tc>
          <w:tcPr>
            <w:tcW w:w="675" w:type="dxa"/>
            <w:tcBorders>
              <w:top w:val="single" w:sz="4" w:space="0" w:color="1F3864"/>
              <w:left w:val="single" w:sz="4" w:space="0" w:color="1F3864"/>
              <w:bottom w:val="single" w:sz="4" w:space="0" w:color="1F3864"/>
              <w:right w:val="single" w:sz="4" w:space="0" w:color="1F3864"/>
            </w:tcBorders>
            <w:shd w:val="clear" w:color="auto" w:fill="2D5F9B"/>
            <w:tcMar>
              <w:top w:w="80" w:type="dxa"/>
              <w:left w:w="120" w:type="dxa"/>
              <w:bottom w:w="80" w:type="dxa"/>
              <w:right w:w="120" w:type="dxa"/>
            </w:tcMar>
          </w:tcPr>
          <w:p w14:paraId="3CDD4671" w14:textId="77777777" w:rsidR="003510A4" w:rsidRDefault="00FF18D5">
            <w:pPr>
              <w:rPr>
                <w:rFonts w:ascii="Inter" w:eastAsia="Inter" w:hAnsi="Inter" w:cs="Inter"/>
              </w:rPr>
            </w:pPr>
            <w:r>
              <w:rPr>
                <w:rFonts w:ascii="Inter" w:eastAsia="Inter" w:hAnsi="Inter" w:cs="Inter"/>
                <w:b/>
                <w:bCs/>
                <w:color w:val="FFFFFF"/>
                <w:sz w:val="19"/>
                <w:szCs w:val="19"/>
              </w:rPr>
              <w:t>ID</w:t>
            </w:r>
          </w:p>
        </w:tc>
        <w:tc>
          <w:tcPr>
            <w:tcW w:w="1480" w:type="dxa"/>
            <w:tcBorders>
              <w:top w:val="single" w:sz="4" w:space="0" w:color="1F3864"/>
              <w:left w:val="single" w:sz="4" w:space="0" w:color="1F3864"/>
              <w:bottom w:val="single" w:sz="4" w:space="0" w:color="1F3864"/>
              <w:right w:val="single" w:sz="4" w:space="0" w:color="1F3864"/>
            </w:tcBorders>
            <w:shd w:val="clear" w:color="auto" w:fill="2D5F9B"/>
            <w:tcMar>
              <w:top w:w="80" w:type="dxa"/>
              <w:left w:w="120" w:type="dxa"/>
              <w:bottom w:w="80" w:type="dxa"/>
              <w:right w:w="120" w:type="dxa"/>
            </w:tcMar>
          </w:tcPr>
          <w:p w14:paraId="0FE42A9B" w14:textId="77777777" w:rsidR="003510A4" w:rsidRDefault="00FF18D5">
            <w:pPr>
              <w:rPr>
                <w:rFonts w:ascii="Inter" w:eastAsia="Inter" w:hAnsi="Inter" w:cs="Inter"/>
              </w:rPr>
            </w:pPr>
            <w:r>
              <w:rPr>
                <w:rFonts w:ascii="Inter" w:eastAsia="Inter" w:hAnsi="Inter" w:cs="Inter"/>
                <w:b/>
                <w:bCs/>
                <w:color w:val="FFFFFF"/>
                <w:sz w:val="19"/>
                <w:szCs w:val="19"/>
              </w:rPr>
              <w:t>Criterion</w:t>
            </w:r>
          </w:p>
        </w:tc>
        <w:tc>
          <w:tcPr>
            <w:tcW w:w="7055" w:type="dxa"/>
            <w:tcBorders>
              <w:top w:val="single" w:sz="4" w:space="0" w:color="1F3864"/>
              <w:left w:val="single" w:sz="4" w:space="0" w:color="1F3864"/>
              <w:bottom w:val="single" w:sz="4" w:space="0" w:color="1F3864"/>
              <w:right w:val="single" w:sz="4" w:space="0" w:color="1F3864"/>
            </w:tcBorders>
            <w:shd w:val="clear" w:color="auto" w:fill="2D5F9B"/>
            <w:tcMar>
              <w:top w:w="80" w:type="dxa"/>
              <w:left w:w="120" w:type="dxa"/>
              <w:bottom w:w="80" w:type="dxa"/>
              <w:right w:w="120" w:type="dxa"/>
            </w:tcMar>
          </w:tcPr>
          <w:p w14:paraId="3F432FB6" w14:textId="77777777" w:rsidR="003510A4" w:rsidRDefault="00FF18D5">
            <w:pPr>
              <w:rPr>
                <w:rFonts w:ascii="Inter" w:eastAsia="Inter" w:hAnsi="Inter" w:cs="Inter"/>
              </w:rPr>
            </w:pPr>
            <w:r>
              <w:rPr>
                <w:rFonts w:ascii="Inter" w:eastAsia="Inter" w:hAnsi="Inter" w:cs="Inter"/>
                <w:b/>
                <w:bCs/>
                <w:color w:val="FFFFFF"/>
                <w:sz w:val="19"/>
                <w:szCs w:val="19"/>
              </w:rPr>
              <w:t>Description</w:t>
            </w:r>
          </w:p>
        </w:tc>
        <w:tc>
          <w:tcPr>
            <w:tcW w:w="885" w:type="dxa"/>
            <w:tcBorders>
              <w:top w:val="single" w:sz="4" w:space="0" w:color="1F3864"/>
              <w:left w:val="single" w:sz="4" w:space="0" w:color="1F3864"/>
              <w:bottom w:val="single" w:sz="4" w:space="0" w:color="1F3864"/>
              <w:right w:val="single" w:sz="4" w:space="0" w:color="1F3864"/>
            </w:tcBorders>
            <w:shd w:val="clear" w:color="auto" w:fill="2D5F9B"/>
            <w:tcMar>
              <w:top w:w="80" w:type="dxa"/>
              <w:left w:w="120" w:type="dxa"/>
              <w:bottom w:w="80" w:type="dxa"/>
              <w:right w:w="120" w:type="dxa"/>
            </w:tcMar>
          </w:tcPr>
          <w:p w14:paraId="0F8A23D3" w14:textId="77777777" w:rsidR="003510A4" w:rsidRDefault="00FF18D5">
            <w:pPr>
              <w:rPr>
                <w:rFonts w:ascii="Inter" w:eastAsia="Inter" w:hAnsi="Inter" w:cs="Inter"/>
                <w:b/>
                <w:bCs/>
                <w:color w:val="FFFFFF"/>
                <w:sz w:val="19"/>
                <w:szCs w:val="19"/>
              </w:rPr>
            </w:pPr>
            <w:r>
              <w:rPr>
                <w:rFonts w:ascii="Inter" w:eastAsia="Inter" w:hAnsi="Inter" w:cs="Inter"/>
                <w:b/>
                <w:bCs/>
                <w:color w:val="FFFFFF"/>
                <w:sz w:val="19"/>
                <w:szCs w:val="19"/>
              </w:rPr>
              <w:t>Points</w:t>
            </w:r>
          </w:p>
        </w:tc>
      </w:tr>
      <w:tr w:rsidR="003510A4" w14:paraId="10A552D9" w14:textId="77777777">
        <w:tc>
          <w:tcPr>
            <w:tcW w:w="67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B30E252"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B1</w:t>
            </w:r>
          </w:p>
        </w:tc>
        <w:tc>
          <w:tcPr>
            <w:tcW w:w="148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D67596C" w14:textId="77777777" w:rsidR="003510A4" w:rsidRPr="008D2515" w:rsidRDefault="00FF18D5">
            <w:pPr>
              <w:rPr>
                <w:rFonts w:ascii="Inter" w:eastAsia="Inter" w:hAnsi="Inter" w:cs="Inter"/>
                <w:b/>
                <w:bCs/>
                <w:color w:val="000000"/>
                <w:sz w:val="19"/>
                <w:szCs w:val="19"/>
              </w:rPr>
            </w:pPr>
            <w:r w:rsidRPr="008D2515">
              <w:rPr>
                <w:rFonts w:ascii="Inter" w:eastAsia="Inter" w:hAnsi="Inter" w:cs="Inter"/>
                <w:b/>
                <w:bCs/>
                <w:color w:val="000000"/>
                <w:sz w:val="19"/>
                <w:szCs w:val="19"/>
              </w:rPr>
              <w:t>Annual GHG Reduction</w:t>
            </w:r>
          </w:p>
        </w:tc>
        <w:tc>
          <w:tcPr>
            <w:tcW w:w="70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0DE8B2F" w14:textId="77777777" w:rsidR="003510A4" w:rsidRPr="008D2515" w:rsidRDefault="00FF18D5">
            <w:pPr>
              <w:rPr>
                <w:rFonts w:ascii="Inter" w:eastAsia="Inter" w:hAnsi="Inter" w:cs="Inter"/>
                <w:color w:val="000000"/>
                <w:sz w:val="19"/>
                <w:szCs w:val="19"/>
                <w:lang w:val="en-US"/>
              </w:rPr>
            </w:pPr>
            <w:r w:rsidRPr="52A52F4F">
              <w:rPr>
                <w:rFonts w:ascii="Inter" w:eastAsia="Inter" w:hAnsi="Inter" w:cs="Inter"/>
                <w:color w:val="000000" w:themeColor="text1"/>
                <w:sz w:val="19"/>
                <w:szCs w:val="19"/>
                <w:lang w:val="en-US"/>
              </w:rPr>
              <w:t>Projected annual reduction in natural gas consumption (</w:t>
            </w:r>
            <w:proofErr w:type="spellStart"/>
            <w:r w:rsidRPr="52A52F4F">
              <w:rPr>
                <w:rFonts w:ascii="Inter" w:eastAsia="Inter" w:hAnsi="Inter" w:cs="Inter"/>
                <w:color w:val="000000" w:themeColor="text1"/>
                <w:sz w:val="19"/>
                <w:szCs w:val="19"/>
                <w:lang w:val="en-US"/>
              </w:rPr>
              <w:t>therms</w:t>
            </w:r>
            <w:proofErr w:type="spellEnd"/>
            <w:r w:rsidRPr="52A52F4F">
              <w:rPr>
                <w:rFonts w:ascii="Inter" w:eastAsia="Inter" w:hAnsi="Inter" w:cs="Inter"/>
                <w:color w:val="000000" w:themeColor="text1"/>
                <w:sz w:val="19"/>
                <w:szCs w:val="19"/>
                <w:lang w:val="en-US"/>
              </w:rPr>
              <w:t>/year), annual increase in electricity consumption (kWh/year) or other fuel consumption, and overall GHG emissions reduction (MTCO</w:t>
            </w:r>
            <w:r w:rsidRPr="52A52F4F">
              <w:rPr>
                <w:rFonts w:ascii="Inter" w:eastAsia="Inter" w:hAnsi="Inter" w:cs="Inter"/>
                <w:color w:val="000000" w:themeColor="text1"/>
                <w:sz w:val="19"/>
                <w:szCs w:val="19"/>
                <w:vertAlign w:val="subscript"/>
                <w:lang w:val="en-US"/>
              </w:rPr>
              <w:t>2</w:t>
            </w:r>
            <w:r w:rsidRPr="52A52F4F">
              <w:rPr>
                <w:rFonts w:ascii="Inter" w:eastAsia="Inter" w:hAnsi="Inter" w:cs="Inter"/>
                <w:color w:val="000000" w:themeColor="text1"/>
                <w:sz w:val="19"/>
                <w:szCs w:val="19"/>
                <w:lang w:val="en-US"/>
              </w:rPr>
              <w:t>e/year).</w:t>
            </w:r>
          </w:p>
        </w:tc>
        <w:tc>
          <w:tcPr>
            <w:tcW w:w="8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48E42CB"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5</w:t>
            </w:r>
          </w:p>
        </w:tc>
      </w:tr>
      <w:tr w:rsidR="003510A4" w14:paraId="1A6B9487" w14:textId="77777777">
        <w:tc>
          <w:tcPr>
            <w:tcW w:w="67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167F978"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B2</w:t>
            </w:r>
          </w:p>
        </w:tc>
        <w:tc>
          <w:tcPr>
            <w:tcW w:w="148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CDA31A1" w14:textId="77777777" w:rsidR="003510A4" w:rsidRPr="008D2515" w:rsidRDefault="00FF18D5">
            <w:pPr>
              <w:rPr>
                <w:rFonts w:ascii="Inter" w:eastAsia="Inter" w:hAnsi="Inter" w:cs="Inter"/>
                <w:sz w:val="19"/>
                <w:szCs w:val="19"/>
              </w:rPr>
            </w:pPr>
            <w:r w:rsidRPr="008D2515">
              <w:rPr>
                <w:rFonts w:ascii="Inter" w:eastAsia="Inter" w:hAnsi="Inter" w:cs="Inter"/>
                <w:b/>
                <w:bCs/>
                <w:color w:val="000000"/>
                <w:sz w:val="19"/>
                <w:szCs w:val="19"/>
              </w:rPr>
              <w:t>Lifetime GHG Reduction</w:t>
            </w:r>
          </w:p>
        </w:tc>
        <w:tc>
          <w:tcPr>
            <w:tcW w:w="70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9AEE0CD" w14:textId="77777777" w:rsidR="003510A4" w:rsidRPr="008D2515" w:rsidRDefault="00FF18D5">
            <w:pPr>
              <w:rPr>
                <w:rFonts w:ascii="Inter" w:eastAsia="Inter" w:hAnsi="Inter" w:cs="Inter"/>
                <w:sz w:val="19"/>
                <w:szCs w:val="19"/>
                <w:lang w:val="en-US"/>
              </w:rPr>
            </w:pPr>
            <w:r w:rsidRPr="52A52F4F">
              <w:rPr>
                <w:rFonts w:ascii="Inter" w:eastAsia="Inter" w:hAnsi="Inter" w:cs="Inter"/>
                <w:color w:val="000000" w:themeColor="text1"/>
                <w:sz w:val="19"/>
                <w:szCs w:val="19"/>
                <w:lang w:val="en-US"/>
              </w:rPr>
              <w:t>Total lifetime reduction in natural gas consumption (</w:t>
            </w:r>
            <w:proofErr w:type="spellStart"/>
            <w:r w:rsidRPr="52A52F4F">
              <w:rPr>
                <w:rFonts w:ascii="Inter" w:eastAsia="Inter" w:hAnsi="Inter" w:cs="Inter"/>
                <w:color w:val="000000" w:themeColor="text1"/>
                <w:sz w:val="19"/>
                <w:szCs w:val="19"/>
                <w:lang w:val="en-US"/>
              </w:rPr>
              <w:t>therms</w:t>
            </w:r>
            <w:proofErr w:type="spellEnd"/>
            <w:r w:rsidRPr="52A52F4F">
              <w:rPr>
                <w:rFonts w:ascii="Inter" w:eastAsia="Inter" w:hAnsi="Inter" w:cs="Inter"/>
                <w:color w:val="000000" w:themeColor="text1"/>
                <w:sz w:val="19"/>
                <w:szCs w:val="19"/>
                <w:lang w:val="en-US"/>
              </w:rPr>
              <w:t>), lifetime increase in electricity consumption (kWh) or other fuel consumption, and overall GHG emission reductions (MTCO</w:t>
            </w:r>
            <w:r w:rsidRPr="52A52F4F">
              <w:rPr>
                <w:rFonts w:ascii="Inter" w:eastAsia="Inter" w:hAnsi="Inter" w:cs="Inter"/>
                <w:color w:val="000000" w:themeColor="text1"/>
                <w:sz w:val="19"/>
                <w:szCs w:val="19"/>
                <w:vertAlign w:val="subscript"/>
                <w:lang w:val="en-US"/>
              </w:rPr>
              <w:t>2</w:t>
            </w:r>
            <w:r w:rsidRPr="52A52F4F">
              <w:rPr>
                <w:rFonts w:ascii="Inter" w:eastAsia="Inter" w:hAnsi="Inter" w:cs="Inter"/>
                <w:color w:val="000000" w:themeColor="text1"/>
                <w:sz w:val="19"/>
                <w:szCs w:val="19"/>
                <w:lang w:val="en-US"/>
              </w:rPr>
              <w:t>e). Assess assumed project lifetime, persistence of savings, and degradation or decay factors applied.</w:t>
            </w:r>
          </w:p>
        </w:tc>
        <w:tc>
          <w:tcPr>
            <w:tcW w:w="8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4F3074B"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t>10</w:t>
            </w:r>
          </w:p>
        </w:tc>
      </w:tr>
      <w:tr w:rsidR="003510A4" w14:paraId="34444866" w14:textId="77777777" w:rsidTr="00467CA5">
        <w:trPr>
          <w:trHeight w:val="18"/>
        </w:trPr>
        <w:tc>
          <w:tcPr>
            <w:tcW w:w="67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C2DAF13"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B3</w:t>
            </w:r>
          </w:p>
        </w:tc>
        <w:tc>
          <w:tcPr>
            <w:tcW w:w="148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FA22FEF"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Emissions Accounting Methodology</w:t>
            </w:r>
          </w:p>
        </w:tc>
        <w:tc>
          <w:tcPr>
            <w:tcW w:w="70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C15E154" w14:textId="77777777" w:rsidR="003510A4" w:rsidRPr="008D2515" w:rsidRDefault="00FF18D5">
            <w:pPr>
              <w:rPr>
                <w:rFonts w:ascii="Inter" w:eastAsia="Inter" w:hAnsi="Inter" w:cs="Inter"/>
                <w:sz w:val="19"/>
                <w:szCs w:val="19"/>
                <w:lang w:val="en-US"/>
              </w:rPr>
            </w:pPr>
            <w:r w:rsidRPr="52A52F4F">
              <w:rPr>
                <w:rFonts w:ascii="Inter" w:eastAsia="Inter" w:hAnsi="Inter" w:cs="Inter"/>
                <w:sz w:val="19"/>
                <w:szCs w:val="19"/>
                <w:lang w:val="en-US"/>
              </w:rPr>
              <w:t>Lifecycle emissions accounting; system boundary definition; upstream methane treatment; CO</w:t>
            </w:r>
            <w:r w:rsidRPr="52A52F4F">
              <w:rPr>
                <w:rFonts w:ascii="Inter" w:eastAsia="Inter" w:hAnsi="Inter" w:cs="Inter"/>
                <w:sz w:val="19"/>
                <w:szCs w:val="19"/>
                <w:vertAlign w:val="subscript"/>
                <w:lang w:val="en-US"/>
              </w:rPr>
              <w:t>2</w:t>
            </w:r>
            <w:r w:rsidRPr="52A52F4F">
              <w:rPr>
                <w:rFonts w:ascii="Inter" w:eastAsia="Inter" w:hAnsi="Inter" w:cs="Inter"/>
                <w:sz w:val="19"/>
                <w:szCs w:val="19"/>
                <w:lang w:val="en-US"/>
              </w:rPr>
              <w:t>e conversion methodology; alignment with CCA compliance accounting standards.</w:t>
            </w:r>
          </w:p>
          <w:p w14:paraId="2E7236F2" w14:textId="77777777" w:rsidR="003510A4" w:rsidRPr="008D2515" w:rsidRDefault="003510A4">
            <w:pPr>
              <w:rPr>
                <w:rFonts w:ascii="Inter" w:eastAsia="Inter" w:hAnsi="Inter" w:cs="Inter"/>
                <w:sz w:val="19"/>
                <w:szCs w:val="19"/>
              </w:rPr>
            </w:pPr>
          </w:p>
          <w:p w14:paraId="6EB2BD2D" w14:textId="4B15030B" w:rsidR="003510A4" w:rsidRPr="008D2515" w:rsidRDefault="00FF18D5">
            <w:pPr>
              <w:rPr>
                <w:rFonts w:ascii="Inter" w:eastAsia="Inter" w:hAnsi="Inter" w:cs="Inter"/>
                <w:sz w:val="19"/>
                <w:szCs w:val="19"/>
                <w:lang w:val="en-US"/>
              </w:rPr>
            </w:pPr>
            <w:r w:rsidRPr="52A52F4F">
              <w:rPr>
                <w:rFonts w:ascii="Inter" w:eastAsia="Inter" w:hAnsi="Inter" w:cs="Inter"/>
                <w:i/>
                <w:sz w:val="19"/>
                <w:szCs w:val="19"/>
                <w:lang w:val="en-US"/>
              </w:rPr>
              <w:t>For demand-side, electrification projects:</w:t>
            </w:r>
            <w:r w:rsidRPr="52A52F4F">
              <w:rPr>
                <w:rFonts w:ascii="Inter" w:eastAsia="Inter" w:hAnsi="Inter" w:cs="Inter"/>
                <w:sz w:val="19"/>
                <w:szCs w:val="19"/>
                <w:lang w:val="en-US"/>
              </w:rPr>
              <w:t xml:space="preserve"> </w:t>
            </w:r>
            <w:r w:rsidRPr="52A52F4F">
              <w:rPr>
                <w:rFonts w:ascii="Inter" w:eastAsia="Inter" w:hAnsi="Inter" w:cs="Inter"/>
                <w:color w:val="000000" w:themeColor="text1"/>
                <w:sz w:val="19"/>
                <w:szCs w:val="19"/>
                <w:lang w:val="en-US"/>
              </w:rPr>
              <w:t xml:space="preserve">Approach to accounting for grid emissions (marginal vs. average emissions factor); lifecycle GHG vs. operational GHG; alignment with </w:t>
            </w:r>
            <w:r w:rsidR="009E5CBE" w:rsidRPr="52A52F4F">
              <w:rPr>
                <w:rFonts w:ascii="Inter" w:eastAsia="Inter" w:hAnsi="Inter" w:cs="Inter"/>
                <w:color w:val="000000" w:themeColor="text1"/>
                <w:sz w:val="19"/>
                <w:szCs w:val="19"/>
                <w:lang w:val="en-US"/>
              </w:rPr>
              <w:t xml:space="preserve">relevant electric utilities’ </w:t>
            </w:r>
            <w:r w:rsidRPr="52A52F4F">
              <w:rPr>
                <w:rFonts w:ascii="Inter" w:eastAsia="Inter" w:hAnsi="Inter" w:cs="Inter"/>
                <w:color w:val="000000" w:themeColor="text1"/>
                <w:sz w:val="19"/>
                <w:szCs w:val="19"/>
                <w:lang w:val="en-US"/>
              </w:rPr>
              <w:t>grid decarbonization trajectory. C</w:t>
            </w:r>
            <w:r w:rsidRPr="52A52F4F">
              <w:rPr>
                <w:rFonts w:ascii="Inter" w:eastAsia="Inter" w:hAnsi="Inter" w:cs="Inter"/>
                <w:sz w:val="19"/>
                <w:szCs w:val="19"/>
                <w:lang w:val="en-US"/>
              </w:rPr>
              <w:t>onservative consequential accounting for fuel switching between natural gas and power. Rigor and appropriateness of the proposed methodology for quantifying and verifying energy savings. Assess: (a) whether metered or modeled savings are used and the justification; (b) baseline establishment methodology and pre/post energy audit protocols; (c) savings persistence and degradation assumptions over the project lifetime; (d) QA/QC protocols for equipment installation and contractor oversight; and (e) for behavioral or demand response programs, the verification methodology for non-equipment savings. MRV approach should reference a recognized protocol.</w:t>
            </w:r>
          </w:p>
          <w:p w14:paraId="5A104A54" w14:textId="77777777" w:rsidR="003510A4" w:rsidRPr="008D2515" w:rsidRDefault="003510A4">
            <w:pPr>
              <w:rPr>
                <w:rFonts w:ascii="Inter" w:eastAsia="Inter" w:hAnsi="Inter" w:cs="Inter"/>
                <w:sz w:val="19"/>
                <w:szCs w:val="19"/>
              </w:rPr>
            </w:pPr>
          </w:p>
          <w:p w14:paraId="3E005068" w14:textId="77777777" w:rsidR="003510A4" w:rsidRPr="008D2515" w:rsidRDefault="00FF18D5">
            <w:pPr>
              <w:rPr>
                <w:rFonts w:ascii="Inter" w:eastAsia="Inter" w:hAnsi="Inter" w:cs="Inter"/>
                <w:sz w:val="19"/>
                <w:szCs w:val="19"/>
                <w:lang w:val="en-US"/>
              </w:rPr>
            </w:pPr>
            <w:r w:rsidRPr="52A52F4F">
              <w:rPr>
                <w:rFonts w:ascii="Inter" w:eastAsia="Inter" w:hAnsi="Inter" w:cs="Inter"/>
                <w:i/>
                <w:sz w:val="19"/>
                <w:szCs w:val="19"/>
                <w:lang w:val="en-US"/>
              </w:rPr>
              <w:t>F</w:t>
            </w:r>
            <w:r w:rsidRPr="007D4F91">
              <w:rPr>
                <w:rFonts w:ascii="Inter" w:eastAsia="Inter" w:hAnsi="Inter" w:cs="Inter"/>
                <w:i/>
                <w:iCs/>
                <w:sz w:val="19"/>
                <w:szCs w:val="19"/>
              </w:rPr>
              <w:t xml:space="preserve">or supply-side projects: </w:t>
            </w:r>
            <w:r w:rsidRPr="52A52F4F">
              <w:rPr>
                <w:rFonts w:ascii="Inter" w:eastAsia="Inter" w:hAnsi="Inter" w:cs="Inter"/>
                <w:sz w:val="19"/>
                <w:szCs w:val="19"/>
                <w:lang w:val="en-US"/>
              </w:rPr>
              <w:t>Rigor of the proposed methodology for quantifying and verifying emissions reductions. Assess: (a) measurement approach for supply-side emissions reductions (e.g., flow metering, leak quantification methodology); (b) baseline establishment and ongoing monitoring protocols; (c) data quality assurance procedures; and (d) alignment with recognized standards or protocols.</w:t>
            </w:r>
          </w:p>
          <w:p w14:paraId="2D198218" w14:textId="77777777" w:rsidR="003510A4" w:rsidRPr="008D2515" w:rsidRDefault="003510A4">
            <w:pPr>
              <w:rPr>
                <w:rFonts w:ascii="Inter" w:eastAsia="Inter" w:hAnsi="Inter" w:cs="Inter"/>
                <w:sz w:val="19"/>
                <w:szCs w:val="19"/>
              </w:rPr>
            </w:pPr>
          </w:p>
          <w:p w14:paraId="46A0A42A" w14:textId="493D2CB2" w:rsidR="003510A4" w:rsidRPr="008D2515" w:rsidRDefault="00FF18D5">
            <w:pPr>
              <w:rPr>
                <w:rFonts w:ascii="Inter" w:eastAsia="Inter" w:hAnsi="Inter" w:cs="Inter"/>
                <w:sz w:val="19"/>
                <w:szCs w:val="19"/>
                <w:lang w:val="en-US"/>
              </w:rPr>
            </w:pPr>
            <w:r w:rsidRPr="52A52F4F">
              <w:rPr>
                <w:rFonts w:ascii="Inter" w:eastAsia="Inter" w:hAnsi="Inter" w:cs="Inter"/>
                <w:i/>
                <w:sz w:val="19"/>
                <w:szCs w:val="19"/>
                <w:lang w:val="en-US"/>
              </w:rPr>
              <w:t xml:space="preserve">For CCUS projects: </w:t>
            </w:r>
            <w:r w:rsidRPr="52A52F4F">
              <w:rPr>
                <w:rFonts w:ascii="Inter" w:eastAsia="Inter" w:hAnsi="Inter" w:cs="Inter"/>
                <w:sz w:val="19"/>
                <w:szCs w:val="19"/>
                <w:lang w:val="en-US"/>
              </w:rPr>
              <w:t>Rigor of the proposed methodology for quantifying, verifying, and attributing net emissions reductions from carbon capture, compression, transport, and utilization or geologic storage. Assess: (a) system boundary definition across capture source, transport and disposition pathway; (b) baseline establishment methodology, including pre-CC</w:t>
            </w:r>
            <w:r w:rsidR="000D744F" w:rsidRPr="52A52F4F">
              <w:rPr>
                <w:rFonts w:ascii="Inter" w:eastAsia="Inter" w:hAnsi="Inter" w:cs="Inter"/>
                <w:sz w:val="19"/>
                <w:szCs w:val="19"/>
                <w:lang w:val="en-US"/>
              </w:rPr>
              <w:t>U</w:t>
            </w:r>
            <w:r w:rsidRPr="52A52F4F">
              <w:rPr>
                <w:rFonts w:ascii="Inter" w:eastAsia="Inter" w:hAnsi="Inter" w:cs="Inter"/>
                <w:sz w:val="19"/>
                <w:szCs w:val="19"/>
                <w:lang w:val="en-US"/>
              </w:rPr>
              <w:t>S facility operations and outputs; (c) measurement approach for captured, transferred, injected, utilized, vented, leaked, or otherwise released CO</w:t>
            </w:r>
            <w:r w:rsidRPr="52A52F4F">
              <w:rPr>
                <w:rFonts w:ascii="Inter" w:eastAsia="Inter" w:hAnsi="Inter" w:cs="Inter"/>
                <w:sz w:val="19"/>
                <w:szCs w:val="19"/>
                <w:vertAlign w:val="subscript"/>
                <w:lang w:val="en-US"/>
              </w:rPr>
              <w:t>2</w:t>
            </w:r>
            <w:r w:rsidRPr="52A52F4F">
              <w:rPr>
                <w:rFonts w:ascii="Inter" w:eastAsia="Inter" w:hAnsi="Inter" w:cs="Inter"/>
                <w:sz w:val="19"/>
                <w:szCs w:val="19"/>
                <w:lang w:val="en-US"/>
              </w:rPr>
              <w:t>; (d) treatment of CO</w:t>
            </w:r>
            <w:r w:rsidRPr="52A52F4F">
              <w:rPr>
                <w:rFonts w:ascii="Inter" w:eastAsia="Inter" w:hAnsi="Inter" w:cs="Inter"/>
                <w:sz w:val="19"/>
                <w:szCs w:val="19"/>
                <w:vertAlign w:val="subscript"/>
                <w:lang w:val="en-US"/>
              </w:rPr>
              <w:t>2</w:t>
            </w:r>
            <w:r w:rsidRPr="52A52F4F">
              <w:rPr>
                <w:rFonts w:ascii="Inter" w:eastAsia="Inter" w:hAnsi="Inter" w:cs="Inter"/>
                <w:sz w:val="19"/>
                <w:szCs w:val="19"/>
                <w:lang w:val="en-US"/>
              </w:rPr>
              <w:t xml:space="preserve"> utilization products, distinguishing durable products (e.g., concrete) from short-lived products; (e) for CO</w:t>
            </w:r>
            <w:r w:rsidRPr="52A52F4F">
              <w:rPr>
                <w:rFonts w:ascii="Inter" w:eastAsia="Inter" w:hAnsi="Inter" w:cs="Inter"/>
                <w:sz w:val="19"/>
                <w:szCs w:val="19"/>
                <w:vertAlign w:val="subscript"/>
                <w:lang w:val="en-US"/>
              </w:rPr>
              <w:t>2</w:t>
            </w:r>
            <w:r w:rsidRPr="52A52F4F">
              <w:rPr>
                <w:rFonts w:ascii="Inter" w:eastAsia="Inter" w:hAnsi="Inter" w:cs="Inter"/>
                <w:sz w:val="19"/>
                <w:szCs w:val="19"/>
                <w:lang w:val="en-US"/>
              </w:rPr>
              <w:t>-EOR pathways, accounting for incremental hydrocarbon production associated with injected CO</w:t>
            </w:r>
            <w:r w:rsidRPr="52A52F4F">
              <w:rPr>
                <w:rFonts w:ascii="Inter" w:eastAsia="Inter" w:hAnsi="Inter" w:cs="Inter"/>
                <w:sz w:val="19"/>
                <w:szCs w:val="19"/>
                <w:vertAlign w:val="subscript"/>
                <w:lang w:val="en-US"/>
              </w:rPr>
              <w:t>2</w:t>
            </w:r>
            <w:r w:rsidRPr="52A52F4F">
              <w:rPr>
                <w:rFonts w:ascii="Inter" w:eastAsia="Inter" w:hAnsi="Inter" w:cs="Inter"/>
                <w:sz w:val="19"/>
                <w:szCs w:val="19"/>
                <w:lang w:val="en-US"/>
              </w:rPr>
              <w:t xml:space="preserve">; (f) general alignment with established and </w:t>
            </w:r>
            <w:r w:rsidRPr="52A52F4F">
              <w:rPr>
                <w:rFonts w:ascii="Inter" w:eastAsia="Inter" w:hAnsi="Inter" w:cs="Inter"/>
                <w:sz w:val="19"/>
                <w:szCs w:val="19"/>
                <w:lang w:val="en-US"/>
              </w:rPr>
              <w:lastRenderedPageBreak/>
              <w:t>recognized MRV and accounting protocols (e.g., EPA GHGRP Subpart RR, ISO 27914, etc.).</w:t>
            </w:r>
          </w:p>
        </w:tc>
        <w:tc>
          <w:tcPr>
            <w:tcW w:w="8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BC6CA1C"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lastRenderedPageBreak/>
              <w:t>4</w:t>
            </w:r>
          </w:p>
        </w:tc>
      </w:tr>
      <w:tr w:rsidR="003510A4" w14:paraId="1202CEC0" w14:textId="77777777" w:rsidTr="00467CA5">
        <w:trPr>
          <w:trHeight w:val="18"/>
        </w:trPr>
        <w:tc>
          <w:tcPr>
            <w:tcW w:w="67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A9A3BAF"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B4</w:t>
            </w:r>
          </w:p>
        </w:tc>
        <w:tc>
          <w:tcPr>
            <w:tcW w:w="148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9F07F1E" w14:textId="77777777" w:rsidR="003510A4" w:rsidRPr="008D2515" w:rsidRDefault="00FF18D5">
            <w:pPr>
              <w:rPr>
                <w:rFonts w:ascii="Inter" w:eastAsia="Inter" w:hAnsi="Inter" w:cs="Inter"/>
                <w:b/>
                <w:bCs/>
                <w:sz w:val="19"/>
                <w:szCs w:val="19"/>
              </w:rPr>
            </w:pPr>
            <w:r w:rsidRPr="008D2515">
              <w:rPr>
                <w:rFonts w:ascii="Inter" w:eastAsia="Inter" w:hAnsi="Inter" w:cs="Inter"/>
                <w:b/>
                <w:bCs/>
                <w:color w:val="000000"/>
                <w:sz w:val="19"/>
                <w:szCs w:val="19"/>
              </w:rPr>
              <w:t>Scalability</w:t>
            </w:r>
          </w:p>
        </w:tc>
        <w:tc>
          <w:tcPr>
            <w:tcW w:w="70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A4973DF" w14:textId="77777777" w:rsidR="003510A4" w:rsidRPr="008D2515" w:rsidRDefault="00FF18D5">
            <w:pPr>
              <w:rPr>
                <w:rFonts w:ascii="Inter" w:eastAsia="Inter" w:hAnsi="Inter" w:cs="Inter"/>
                <w:sz w:val="19"/>
                <w:szCs w:val="19"/>
                <w:lang w:val="en-US"/>
              </w:rPr>
            </w:pPr>
            <w:r w:rsidRPr="00777E1D">
              <w:rPr>
                <w:rFonts w:ascii="Inter" w:eastAsia="Inter" w:hAnsi="Inter" w:cs="Inter"/>
                <w:sz w:val="19"/>
                <w:szCs w:val="19"/>
                <w:lang w:val="en-US"/>
              </w:rPr>
              <w:t>Potential to scale emissions reductions beyond the initial project scope; replicability across PSE's service territory; contribution to broader market change (technology adoption, supply chains, workforce development).</w:t>
            </w:r>
          </w:p>
        </w:tc>
        <w:tc>
          <w:tcPr>
            <w:tcW w:w="88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EEF00E9"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3</w:t>
            </w:r>
          </w:p>
        </w:tc>
      </w:tr>
    </w:tbl>
    <w:p w14:paraId="10C26901" w14:textId="77777777" w:rsidR="003510A4" w:rsidRDefault="003510A4">
      <w:pPr>
        <w:rPr>
          <w:rFonts w:ascii="Inter" w:eastAsia="Inter" w:hAnsi="Inter" w:cs="Inter"/>
        </w:rPr>
      </w:pPr>
    </w:p>
    <w:p w14:paraId="0D430942" w14:textId="7E3EC880" w:rsidR="003510A4" w:rsidRDefault="003510A4">
      <w:pPr>
        <w:rPr>
          <w:rFonts w:ascii="Inter" w:eastAsia="Inter" w:hAnsi="Inter" w:cs="Inter"/>
        </w:rPr>
      </w:pPr>
    </w:p>
    <w:p w14:paraId="5FC6DDCD" w14:textId="77777777" w:rsidR="003510A4" w:rsidRDefault="003510A4">
      <w:pPr>
        <w:rPr>
          <w:rFonts w:ascii="Inter" w:eastAsia="Inter" w:hAnsi="Inter" w:cs="Inter"/>
        </w:rPr>
      </w:pPr>
    </w:p>
    <w:tbl>
      <w:tblPr>
        <w:tblStyle w:val="a4"/>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065"/>
        <w:gridCol w:w="2115"/>
      </w:tblGrid>
      <w:tr w:rsidR="003510A4" w14:paraId="62AA5A9A" w14:textId="77777777">
        <w:tc>
          <w:tcPr>
            <w:tcW w:w="900" w:type="dxa"/>
            <w:tcBorders>
              <w:top w:val="single" w:sz="4" w:space="0" w:color="1A6B75"/>
              <w:left w:val="single" w:sz="4" w:space="0" w:color="1A6B75"/>
              <w:bottom w:val="single" w:sz="4" w:space="0" w:color="1A6B75"/>
              <w:right w:val="single" w:sz="4" w:space="0" w:color="1A6B75"/>
            </w:tcBorders>
            <w:shd w:val="clear" w:color="auto" w:fill="176674"/>
            <w:tcMar>
              <w:top w:w="80" w:type="dxa"/>
              <w:left w:w="120" w:type="dxa"/>
              <w:bottom w:w="80" w:type="dxa"/>
              <w:right w:w="120" w:type="dxa"/>
            </w:tcMar>
          </w:tcPr>
          <w:p w14:paraId="6B37DD7B" w14:textId="77777777" w:rsidR="003510A4" w:rsidRDefault="00FF18D5">
            <w:pPr>
              <w:jc w:val="center"/>
              <w:rPr>
                <w:rFonts w:ascii="Inter" w:eastAsia="Inter" w:hAnsi="Inter" w:cs="Inter"/>
              </w:rPr>
            </w:pPr>
            <w:r>
              <w:rPr>
                <w:rFonts w:ascii="Inter" w:eastAsia="Inter" w:hAnsi="Inter" w:cs="Inter"/>
                <w:b/>
                <w:bCs/>
                <w:color w:val="FFFFFF"/>
                <w:sz w:val="26"/>
                <w:szCs w:val="26"/>
              </w:rPr>
              <w:t>C</w:t>
            </w:r>
          </w:p>
        </w:tc>
        <w:tc>
          <w:tcPr>
            <w:tcW w:w="7065" w:type="dxa"/>
            <w:tcBorders>
              <w:top w:val="single" w:sz="4" w:space="0" w:color="1A6B75"/>
              <w:left w:val="single" w:sz="4" w:space="0" w:color="1A6B75"/>
              <w:bottom w:val="single" w:sz="4" w:space="0" w:color="1A6B75"/>
              <w:right w:val="single" w:sz="4" w:space="0" w:color="1A6B75"/>
            </w:tcBorders>
            <w:shd w:val="clear" w:color="auto" w:fill="176674"/>
            <w:tcMar>
              <w:top w:w="80" w:type="dxa"/>
              <w:left w:w="120" w:type="dxa"/>
              <w:bottom w:w="80" w:type="dxa"/>
              <w:right w:w="120" w:type="dxa"/>
            </w:tcMar>
          </w:tcPr>
          <w:p w14:paraId="5938B9FC" w14:textId="77777777" w:rsidR="003510A4" w:rsidRDefault="00FF18D5">
            <w:pPr>
              <w:rPr>
                <w:rFonts w:ascii="Inter" w:eastAsia="Inter" w:hAnsi="Inter" w:cs="Inter"/>
              </w:rPr>
            </w:pPr>
            <w:r>
              <w:rPr>
                <w:rFonts w:ascii="Inter" w:eastAsia="Inter" w:hAnsi="Inter" w:cs="Inter"/>
                <w:b/>
                <w:bCs/>
                <w:color w:val="FFFFFF"/>
                <w:sz w:val="24"/>
                <w:szCs w:val="24"/>
              </w:rPr>
              <w:t xml:space="preserve"> Energy Equity and Impact to Customers </w:t>
            </w:r>
          </w:p>
        </w:tc>
        <w:tc>
          <w:tcPr>
            <w:tcW w:w="2115" w:type="dxa"/>
            <w:tcBorders>
              <w:top w:val="single" w:sz="4" w:space="0" w:color="1A6B75"/>
              <w:left w:val="single" w:sz="4" w:space="0" w:color="1A6B75"/>
              <w:bottom w:val="single" w:sz="4" w:space="0" w:color="1A6B75"/>
              <w:right w:val="single" w:sz="4" w:space="0" w:color="1A6B75"/>
            </w:tcBorders>
            <w:shd w:val="clear" w:color="auto" w:fill="1A6B75"/>
            <w:tcMar>
              <w:top w:w="80" w:type="dxa"/>
              <w:left w:w="120" w:type="dxa"/>
              <w:bottom w:w="80" w:type="dxa"/>
              <w:right w:w="120" w:type="dxa"/>
            </w:tcMar>
          </w:tcPr>
          <w:p w14:paraId="7043CD96" w14:textId="77777777" w:rsidR="003510A4" w:rsidRDefault="00FF18D5">
            <w:pPr>
              <w:jc w:val="center"/>
              <w:rPr>
                <w:rFonts w:ascii="Inter" w:eastAsia="Inter" w:hAnsi="Inter" w:cs="Inter"/>
              </w:rPr>
            </w:pPr>
            <w:r>
              <w:rPr>
                <w:rFonts w:ascii="Inter" w:eastAsia="Inter" w:hAnsi="Inter" w:cs="Inter"/>
                <w:b/>
                <w:bCs/>
                <w:color w:val="FFFFFF"/>
                <w:sz w:val="17"/>
                <w:szCs w:val="17"/>
              </w:rPr>
              <w:t>Weight</w:t>
            </w:r>
          </w:p>
          <w:p w14:paraId="7432F9E9" w14:textId="77777777" w:rsidR="003510A4" w:rsidRDefault="00FF18D5">
            <w:pPr>
              <w:jc w:val="center"/>
              <w:rPr>
                <w:rFonts w:ascii="Inter" w:eastAsia="Inter" w:hAnsi="Inter" w:cs="Inter"/>
              </w:rPr>
            </w:pPr>
            <w:r>
              <w:rPr>
                <w:rFonts w:ascii="Inter" w:eastAsia="Inter" w:hAnsi="Inter" w:cs="Inter"/>
                <w:b/>
                <w:bCs/>
                <w:color w:val="FFFFFF"/>
                <w:sz w:val="24"/>
                <w:szCs w:val="24"/>
              </w:rPr>
              <w:t>37%</w:t>
            </w:r>
          </w:p>
        </w:tc>
      </w:tr>
    </w:tbl>
    <w:p w14:paraId="3C62A2A2" w14:textId="77777777" w:rsidR="003510A4" w:rsidRDefault="003510A4">
      <w:pPr>
        <w:spacing w:before="40"/>
        <w:rPr>
          <w:rFonts w:ascii="Inter" w:eastAsia="Inter" w:hAnsi="Inter" w:cs="Inter"/>
        </w:rPr>
      </w:pPr>
    </w:p>
    <w:p w14:paraId="6370036F" w14:textId="77777777" w:rsidR="008946AC" w:rsidRDefault="00FF18D5" w:rsidP="008946AC">
      <w:pPr>
        <w:spacing w:after="120"/>
        <w:rPr>
          <w:rFonts w:ascii="Inter" w:eastAsia="Inter" w:hAnsi="Inter" w:cs="Inter"/>
          <w:sz w:val="20"/>
          <w:szCs w:val="20"/>
        </w:rPr>
      </w:pPr>
      <w:r>
        <w:rPr>
          <w:rFonts w:ascii="Inter" w:eastAsia="Inter" w:hAnsi="Inter" w:cs="Inter"/>
          <w:sz w:val="20"/>
          <w:szCs w:val="20"/>
        </w:rPr>
        <w:t xml:space="preserve">Any proceeds from consigning no-cost </w:t>
      </w:r>
      <w:r w:rsidR="00DD04DC">
        <w:rPr>
          <w:rFonts w:ascii="Inter" w:eastAsia="Inter" w:hAnsi="Inter" w:cs="Inter"/>
          <w:sz w:val="20"/>
          <w:szCs w:val="20"/>
        </w:rPr>
        <w:t xml:space="preserve">natural </w:t>
      </w:r>
      <w:r>
        <w:rPr>
          <w:rFonts w:ascii="Inter" w:eastAsia="Inter" w:hAnsi="Inter" w:cs="Inter"/>
          <w:sz w:val="20"/>
          <w:szCs w:val="20"/>
        </w:rPr>
        <w:t xml:space="preserve">gas CCA allowances must be used to benefit gas utility customers. Benefits and impacts may include monetary and non-monetary elements. </w:t>
      </w:r>
    </w:p>
    <w:p w14:paraId="62F84C3E" w14:textId="043E41D4" w:rsidR="008946AC" w:rsidRDefault="00FF18D5" w:rsidP="008946AC">
      <w:pPr>
        <w:spacing w:after="120"/>
        <w:rPr>
          <w:rFonts w:ascii="Inter" w:eastAsia="Inter" w:hAnsi="Inter" w:cs="Inter"/>
          <w:sz w:val="20"/>
          <w:szCs w:val="20"/>
        </w:rPr>
      </w:pPr>
      <w:r>
        <w:rPr>
          <w:rFonts w:ascii="Inter" w:eastAsia="Inter" w:hAnsi="Inter" w:cs="Inter"/>
          <w:color w:val="000000"/>
          <w:sz w:val="20"/>
          <w:szCs w:val="20"/>
        </w:rPr>
        <w:t>This Principle evaluates impacts on PSE gas customers, including on low-income, residential, and small business customers and customers in PSE named communities</w:t>
      </w:r>
      <w:r>
        <w:rPr>
          <w:rFonts w:ascii="Inter" w:eastAsia="Inter" w:hAnsi="Inter" w:cs="Inter"/>
          <w:sz w:val="20"/>
          <w:szCs w:val="20"/>
        </w:rPr>
        <w:t xml:space="preserve">. </w:t>
      </w:r>
      <w:r>
        <w:rPr>
          <w:rFonts w:ascii="Inter" w:eastAsia="Inter" w:hAnsi="Inter" w:cs="Inter"/>
          <w:color w:val="000000"/>
          <w:sz w:val="20"/>
          <w:szCs w:val="20"/>
        </w:rPr>
        <w:t xml:space="preserve">Note that impacts and benefits for </w:t>
      </w:r>
      <w:r>
        <w:rPr>
          <w:rFonts w:ascii="Inter" w:eastAsia="Inter" w:hAnsi="Inter" w:cs="Inter"/>
          <w:i/>
          <w:iCs/>
          <w:color w:val="000000"/>
          <w:sz w:val="20"/>
          <w:szCs w:val="20"/>
        </w:rPr>
        <w:t>participating</w:t>
      </w:r>
      <w:r>
        <w:rPr>
          <w:rFonts w:ascii="Inter" w:eastAsia="Inter" w:hAnsi="Inter" w:cs="Inter"/>
          <w:color w:val="000000"/>
          <w:sz w:val="20"/>
          <w:szCs w:val="20"/>
        </w:rPr>
        <w:t xml:space="preserve"> customers in demand-side proposals are assessed in section D1.</w:t>
      </w:r>
    </w:p>
    <w:p w14:paraId="617D913A" w14:textId="155B19C5" w:rsidR="00600251" w:rsidRPr="008946AC" w:rsidRDefault="00E973E1" w:rsidP="008946AC">
      <w:pPr>
        <w:rPr>
          <w:rFonts w:ascii="Inter" w:eastAsia="Inter" w:hAnsi="Inter" w:cs="Inter"/>
          <w:sz w:val="20"/>
          <w:szCs w:val="20"/>
        </w:rPr>
      </w:pPr>
      <w:r w:rsidRPr="52A52F4F">
        <w:rPr>
          <w:rFonts w:ascii="Inter" w:eastAsia="Inter" w:hAnsi="Inter" w:cs="Inter"/>
          <w:sz w:val="20"/>
          <w:szCs w:val="20"/>
          <w:lang w:val="en-US"/>
        </w:rPr>
        <w:t xml:space="preserve">These criteria </w:t>
      </w:r>
      <w:r w:rsidR="00687062" w:rsidRPr="52A52F4F">
        <w:rPr>
          <w:rFonts w:ascii="Inter" w:eastAsia="Inter" w:hAnsi="Inter" w:cs="Inter"/>
          <w:sz w:val="20"/>
          <w:szCs w:val="20"/>
          <w:lang w:val="en-US"/>
        </w:rPr>
        <w:t xml:space="preserve">focus on project or program design that reflect PSE's four </w:t>
      </w:r>
      <w:hyperlink r:id="rId11">
        <w:r w:rsidR="003510A4" w:rsidRPr="52A52F4F">
          <w:rPr>
            <w:rFonts w:ascii="Inter" w:eastAsia="Inter" w:hAnsi="Inter" w:cs="Inter"/>
            <w:color w:val="1155CC"/>
            <w:sz w:val="20"/>
            <w:szCs w:val="20"/>
            <w:u w:val="single"/>
            <w:lang w:val="en-US"/>
          </w:rPr>
          <w:t>Energy Equity</w:t>
        </w:r>
      </w:hyperlink>
      <w:r w:rsidR="00687062" w:rsidRPr="52A52F4F">
        <w:rPr>
          <w:rFonts w:ascii="Inter" w:eastAsia="Inter" w:hAnsi="Inter" w:cs="Inter"/>
          <w:sz w:val="20"/>
          <w:szCs w:val="20"/>
          <w:lang w:val="en-US"/>
        </w:rPr>
        <w:t xml:space="preserve"> tenets: Recognition, Procedural, Distributional, and Restorative. Proposals are evaluated on the intentionality and rigor of their equity approach, specifically addressing how communities are identified, how they are engaged, and how program design </w:t>
      </w:r>
      <w:r w:rsidR="00370F43" w:rsidRPr="52A52F4F">
        <w:rPr>
          <w:rFonts w:ascii="Inter" w:eastAsia="Inter" w:hAnsi="Inter" w:cs="Inter"/>
          <w:sz w:val="20"/>
          <w:szCs w:val="20"/>
          <w:lang w:val="en-US"/>
        </w:rPr>
        <w:t xml:space="preserve">impacts or </w:t>
      </w:r>
      <w:r w:rsidR="00687062" w:rsidRPr="52A52F4F">
        <w:rPr>
          <w:rFonts w:ascii="Inter" w:eastAsia="Inter" w:hAnsi="Inter" w:cs="Inter"/>
          <w:sz w:val="20"/>
          <w:szCs w:val="20"/>
          <w:lang w:val="en-US"/>
        </w:rPr>
        <w:t xml:space="preserve">benefits </w:t>
      </w:r>
      <w:r w:rsidR="005D6E01" w:rsidRPr="316BCA20">
        <w:rPr>
          <w:rFonts w:ascii="Inter" w:eastAsia="Inter" w:hAnsi="Inter" w:cs="Inter"/>
          <w:sz w:val="20"/>
          <w:szCs w:val="20"/>
          <w:lang w:val="en-US"/>
        </w:rPr>
        <w:t>customers</w:t>
      </w:r>
      <w:r w:rsidR="00687062" w:rsidRPr="52A52F4F">
        <w:rPr>
          <w:rFonts w:ascii="Inter" w:eastAsia="Inter" w:hAnsi="Inter" w:cs="Inter"/>
          <w:sz w:val="20"/>
          <w:szCs w:val="20"/>
          <w:lang w:val="en-US"/>
        </w:rPr>
        <w:t xml:space="preserve">. </w:t>
      </w:r>
      <w:proofErr w:type="gramStart"/>
      <w:r w:rsidR="00687062" w:rsidRPr="52A52F4F">
        <w:rPr>
          <w:rFonts w:ascii="Inter" w:eastAsia="Inter" w:hAnsi="Inter" w:cs="Inter"/>
          <w:sz w:val="20"/>
          <w:szCs w:val="20"/>
          <w:lang w:val="en-US"/>
        </w:rPr>
        <w:t>In particular,</w:t>
      </w:r>
      <w:r w:rsidR="00A95EF6" w:rsidRPr="52A52F4F">
        <w:rPr>
          <w:rFonts w:ascii="Inter" w:eastAsia="Inter" w:hAnsi="Inter" w:cs="Inter"/>
          <w:sz w:val="20"/>
          <w:szCs w:val="20"/>
          <w:lang w:val="en-US"/>
        </w:rPr>
        <w:t xml:space="preserve"> </w:t>
      </w:r>
      <w:r w:rsidR="00687062" w:rsidRPr="52A52F4F">
        <w:rPr>
          <w:rFonts w:ascii="Inter" w:eastAsia="Inter" w:hAnsi="Inter" w:cs="Inter"/>
          <w:sz w:val="20"/>
          <w:szCs w:val="20"/>
          <w:lang w:val="en-US"/>
        </w:rPr>
        <w:t>bidders</w:t>
      </w:r>
      <w:proofErr w:type="gramEnd"/>
      <w:r w:rsidR="00687062" w:rsidRPr="52A52F4F">
        <w:rPr>
          <w:rFonts w:ascii="Inter" w:eastAsia="Inter" w:hAnsi="Inter" w:cs="Inter"/>
          <w:sz w:val="20"/>
          <w:szCs w:val="20"/>
          <w:lang w:val="en-US"/>
        </w:rPr>
        <w:t xml:space="preserve"> should consider the cost impacts to low-income customers, and residential and/or small business customers. Where applicable, respondents should reference </w:t>
      </w:r>
      <w:hyperlink r:id="rId12">
        <w:r w:rsidR="00687062" w:rsidRPr="52A52F4F">
          <w:rPr>
            <w:rStyle w:val="Hyperlink"/>
            <w:rFonts w:ascii="Inter" w:eastAsia="Inter" w:hAnsi="Inter" w:cs="Inter"/>
            <w:sz w:val="20"/>
            <w:szCs w:val="20"/>
            <w:lang w:val="en-US"/>
          </w:rPr>
          <w:t>PSE’s named community maps</w:t>
        </w:r>
      </w:hyperlink>
      <w:r w:rsidR="00687062" w:rsidRPr="52A52F4F">
        <w:rPr>
          <w:rFonts w:ascii="Inter" w:eastAsia="Inter" w:hAnsi="Inter" w:cs="Inter"/>
          <w:sz w:val="20"/>
          <w:szCs w:val="20"/>
          <w:lang w:val="en-US"/>
        </w:rPr>
        <w:t>.</w:t>
      </w:r>
    </w:p>
    <w:p w14:paraId="208DF627" w14:textId="77777777" w:rsidR="003510A4" w:rsidRDefault="003510A4">
      <w:pPr>
        <w:rPr>
          <w:rFonts w:ascii="Inter" w:eastAsia="Inter" w:hAnsi="Inter" w:cs="Inter"/>
          <w:sz w:val="20"/>
          <w:szCs w:val="20"/>
        </w:rPr>
      </w:pPr>
    </w:p>
    <w:tbl>
      <w:tblPr>
        <w:tblStyle w:val="a5"/>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1650"/>
        <w:gridCol w:w="6960"/>
        <w:gridCol w:w="870"/>
      </w:tblGrid>
      <w:tr w:rsidR="003510A4" w14:paraId="6556FC97" w14:textId="77777777">
        <w:tc>
          <w:tcPr>
            <w:tcW w:w="600" w:type="dxa"/>
            <w:tcBorders>
              <w:top w:val="single" w:sz="4" w:space="0" w:color="1F3864"/>
              <w:left w:val="single" w:sz="4" w:space="0" w:color="1F3864"/>
              <w:bottom w:val="single" w:sz="4" w:space="0" w:color="1F3864"/>
              <w:right w:val="single" w:sz="4" w:space="0" w:color="1F3864"/>
            </w:tcBorders>
            <w:shd w:val="clear" w:color="auto" w:fill="176674"/>
            <w:tcMar>
              <w:top w:w="80" w:type="dxa"/>
              <w:left w:w="120" w:type="dxa"/>
              <w:bottom w:w="80" w:type="dxa"/>
              <w:right w:w="120" w:type="dxa"/>
            </w:tcMar>
          </w:tcPr>
          <w:p w14:paraId="01290BF7" w14:textId="77777777" w:rsidR="003510A4" w:rsidRDefault="00FF18D5">
            <w:pPr>
              <w:rPr>
                <w:rFonts w:ascii="Inter" w:eastAsia="Inter" w:hAnsi="Inter" w:cs="Inter"/>
              </w:rPr>
            </w:pPr>
            <w:r>
              <w:rPr>
                <w:rFonts w:ascii="Inter" w:eastAsia="Inter" w:hAnsi="Inter" w:cs="Inter"/>
                <w:b/>
                <w:bCs/>
                <w:color w:val="FFFFFF"/>
                <w:sz w:val="19"/>
                <w:szCs w:val="19"/>
              </w:rPr>
              <w:t>ID</w:t>
            </w:r>
          </w:p>
        </w:tc>
        <w:tc>
          <w:tcPr>
            <w:tcW w:w="1650" w:type="dxa"/>
            <w:tcBorders>
              <w:top w:val="single" w:sz="4" w:space="0" w:color="1F3864"/>
              <w:left w:val="single" w:sz="4" w:space="0" w:color="1F3864"/>
              <w:bottom w:val="single" w:sz="4" w:space="0" w:color="1F3864"/>
              <w:right w:val="single" w:sz="4" w:space="0" w:color="1F3864"/>
            </w:tcBorders>
            <w:shd w:val="clear" w:color="auto" w:fill="176674"/>
            <w:tcMar>
              <w:top w:w="80" w:type="dxa"/>
              <w:left w:w="120" w:type="dxa"/>
              <w:bottom w:w="80" w:type="dxa"/>
              <w:right w:w="120" w:type="dxa"/>
            </w:tcMar>
          </w:tcPr>
          <w:p w14:paraId="1EBCB562" w14:textId="77777777" w:rsidR="003510A4" w:rsidRDefault="00FF18D5">
            <w:pPr>
              <w:rPr>
                <w:rFonts w:ascii="Inter" w:eastAsia="Inter" w:hAnsi="Inter" w:cs="Inter"/>
              </w:rPr>
            </w:pPr>
            <w:r>
              <w:rPr>
                <w:rFonts w:ascii="Inter" w:eastAsia="Inter" w:hAnsi="Inter" w:cs="Inter"/>
                <w:b/>
                <w:bCs/>
                <w:color w:val="FFFFFF"/>
                <w:sz w:val="19"/>
                <w:szCs w:val="19"/>
              </w:rPr>
              <w:t>Criterion</w:t>
            </w:r>
          </w:p>
        </w:tc>
        <w:tc>
          <w:tcPr>
            <w:tcW w:w="6960" w:type="dxa"/>
            <w:tcBorders>
              <w:top w:val="single" w:sz="4" w:space="0" w:color="1F3864"/>
              <w:left w:val="single" w:sz="4" w:space="0" w:color="1F3864"/>
              <w:bottom w:val="single" w:sz="4" w:space="0" w:color="1F3864"/>
              <w:right w:val="single" w:sz="4" w:space="0" w:color="1F3864"/>
            </w:tcBorders>
            <w:shd w:val="clear" w:color="auto" w:fill="176674"/>
            <w:tcMar>
              <w:top w:w="80" w:type="dxa"/>
              <w:left w:w="120" w:type="dxa"/>
              <w:bottom w:w="80" w:type="dxa"/>
              <w:right w:w="120" w:type="dxa"/>
            </w:tcMar>
          </w:tcPr>
          <w:p w14:paraId="48874259" w14:textId="77777777" w:rsidR="003510A4" w:rsidRDefault="00FF18D5">
            <w:pPr>
              <w:rPr>
                <w:rFonts w:ascii="Inter" w:eastAsia="Inter" w:hAnsi="Inter" w:cs="Inter"/>
              </w:rPr>
            </w:pPr>
            <w:r>
              <w:rPr>
                <w:rFonts w:ascii="Inter" w:eastAsia="Inter" w:hAnsi="Inter" w:cs="Inter"/>
                <w:b/>
                <w:bCs/>
                <w:color w:val="FFFFFF"/>
                <w:sz w:val="19"/>
                <w:szCs w:val="19"/>
              </w:rPr>
              <w:t>Description</w:t>
            </w:r>
          </w:p>
        </w:tc>
        <w:tc>
          <w:tcPr>
            <w:tcW w:w="870" w:type="dxa"/>
            <w:tcBorders>
              <w:top w:val="single" w:sz="4" w:space="0" w:color="1F3864"/>
              <w:left w:val="single" w:sz="4" w:space="0" w:color="1F3864"/>
              <w:bottom w:val="single" w:sz="4" w:space="0" w:color="1F3864"/>
              <w:right w:val="single" w:sz="4" w:space="0" w:color="1F3864"/>
            </w:tcBorders>
            <w:shd w:val="clear" w:color="auto" w:fill="176674"/>
            <w:tcMar>
              <w:top w:w="80" w:type="dxa"/>
              <w:left w:w="120" w:type="dxa"/>
              <w:bottom w:w="80" w:type="dxa"/>
              <w:right w:w="120" w:type="dxa"/>
            </w:tcMar>
          </w:tcPr>
          <w:p w14:paraId="08093C32" w14:textId="77777777" w:rsidR="003510A4" w:rsidRDefault="00FF18D5">
            <w:pPr>
              <w:rPr>
                <w:rFonts w:ascii="Inter" w:eastAsia="Inter" w:hAnsi="Inter" w:cs="Inter"/>
                <w:b/>
                <w:bCs/>
                <w:color w:val="FFFFFF"/>
                <w:sz w:val="19"/>
                <w:szCs w:val="19"/>
              </w:rPr>
            </w:pPr>
            <w:r>
              <w:rPr>
                <w:rFonts w:ascii="Inter" w:eastAsia="Inter" w:hAnsi="Inter" w:cs="Inter"/>
                <w:b/>
                <w:bCs/>
                <w:color w:val="FFFFFF"/>
                <w:sz w:val="19"/>
                <w:szCs w:val="19"/>
              </w:rPr>
              <w:t>Points</w:t>
            </w:r>
          </w:p>
        </w:tc>
      </w:tr>
      <w:tr w:rsidR="003510A4" w14:paraId="25098D25" w14:textId="77777777">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525100F"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C1</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9E5FC2C"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 xml:space="preserve">Cost impact </w:t>
            </w:r>
            <w:proofErr w:type="gramStart"/>
            <w:r w:rsidRPr="008D2515">
              <w:rPr>
                <w:rFonts w:ascii="Inter" w:eastAsia="Inter" w:hAnsi="Inter" w:cs="Inter"/>
                <w:b/>
                <w:bCs/>
                <w:sz w:val="19"/>
                <w:szCs w:val="19"/>
              </w:rPr>
              <w:t>to</w:t>
            </w:r>
            <w:proofErr w:type="gramEnd"/>
            <w:r w:rsidRPr="008D2515">
              <w:rPr>
                <w:rFonts w:ascii="Inter" w:eastAsia="Inter" w:hAnsi="Inter" w:cs="Inter"/>
                <w:b/>
                <w:bCs/>
                <w:sz w:val="19"/>
                <w:szCs w:val="19"/>
              </w:rPr>
              <w:t xml:space="preserve"> residential and small business customers</w:t>
            </w: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707ECF7" w14:textId="75BCF39F" w:rsidR="003510A4" w:rsidRPr="008D2515" w:rsidRDefault="00FF18D5">
            <w:pPr>
              <w:rPr>
                <w:rFonts w:ascii="Inter" w:eastAsia="Inter" w:hAnsi="Inter" w:cs="Inter"/>
                <w:sz w:val="19"/>
                <w:szCs w:val="19"/>
              </w:rPr>
            </w:pPr>
            <w:r w:rsidRPr="008D2515">
              <w:rPr>
                <w:rFonts w:ascii="Inter" w:eastAsia="Inter" w:hAnsi="Inter" w:cs="Inter"/>
                <w:sz w:val="19"/>
                <w:szCs w:val="19"/>
              </w:rPr>
              <w:t xml:space="preserve">Assesses the extent of cost impacts to PSE residential and/or small business customers (expanding upon the pass/fail eligibility requirement EQ1.5 in Exhibit B; see C6 </w:t>
            </w:r>
            <w:r w:rsidR="00B82BD6" w:rsidRPr="008D2515">
              <w:rPr>
                <w:rFonts w:ascii="Inter" w:eastAsia="Inter" w:hAnsi="Inter" w:cs="Inter"/>
                <w:sz w:val="19"/>
                <w:szCs w:val="19"/>
              </w:rPr>
              <w:t>and C7</w:t>
            </w:r>
            <w:r w:rsidR="00B82BD6">
              <w:rPr>
                <w:rFonts w:ascii="Inter" w:eastAsia="Inter" w:hAnsi="Inter" w:cs="Inter"/>
                <w:sz w:val="19"/>
                <w:szCs w:val="19"/>
              </w:rPr>
              <w:t xml:space="preserve"> </w:t>
            </w:r>
            <w:r w:rsidRPr="008D2515">
              <w:rPr>
                <w:rFonts w:ascii="Inter" w:eastAsia="Inter" w:hAnsi="Inter" w:cs="Inter"/>
                <w:sz w:val="19"/>
                <w:szCs w:val="19"/>
              </w:rPr>
              <w:t xml:space="preserve">for impacts </w:t>
            </w:r>
            <w:proofErr w:type="gramStart"/>
            <w:r w:rsidRPr="008D2515">
              <w:rPr>
                <w:rFonts w:ascii="Inter" w:eastAsia="Inter" w:hAnsi="Inter" w:cs="Inter"/>
                <w:sz w:val="19"/>
                <w:szCs w:val="19"/>
              </w:rPr>
              <w:t>to</w:t>
            </w:r>
            <w:proofErr w:type="gramEnd"/>
            <w:r w:rsidRPr="008D2515">
              <w:rPr>
                <w:rFonts w:ascii="Inter" w:eastAsia="Inter" w:hAnsi="Inter" w:cs="Inter"/>
                <w:sz w:val="19"/>
                <w:szCs w:val="19"/>
              </w:rPr>
              <w:t xml:space="preserve"> low-income customers).</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661A966C"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6</w:t>
            </w:r>
          </w:p>
        </w:tc>
      </w:tr>
      <w:tr w:rsidR="003510A4" w14:paraId="30A800E3" w14:textId="77777777">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A788B18"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C2</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D7D22EF"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System cost impact</w:t>
            </w: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4B21765"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 xml:space="preserve">Evaluates the cost of the proposed project as a CCA, conservation, or other compliance strategy for PSE. </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7F385F2B"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12</w:t>
            </w:r>
          </w:p>
        </w:tc>
      </w:tr>
      <w:tr w:rsidR="003510A4" w14:paraId="15A02056" w14:textId="77777777">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836DF81"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C3</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C2925F1"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 xml:space="preserve">Impact on Geographically Proximate Communities </w:t>
            </w:r>
          </w:p>
          <w:p w14:paraId="41A14C5E" w14:textId="77777777" w:rsidR="003510A4" w:rsidRPr="008D2515" w:rsidRDefault="003510A4">
            <w:pPr>
              <w:rPr>
                <w:rFonts w:ascii="Inter" w:eastAsia="Inter" w:hAnsi="Inter" w:cs="Inter"/>
                <w:b/>
                <w:bCs/>
                <w:color w:val="000000"/>
                <w:sz w:val="19"/>
                <w:szCs w:val="19"/>
              </w:rPr>
            </w:pP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3FB865E" w14:textId="0A1C29F8" w:rsidR="003510A4" w:rsidRPr="008D2515" w:rsidRDefault="00FF18D5">
            <w:pPr>
              <w:rPr>
                <w:rFonts w:ascii="Inter" w:eastAsia="Inter" w:hAnsi="Inter" w:cs="Inter"/>
                <w:sz w:val="19"/>
                <w:szCs w:val="19"/>
              </w:rPr>
            </w:pPr>
            <w:proofErr w:type="gramStart"/>
            <w:r w:rsidRPr="008D2515">
              <w:rPr>
                <w:rFonts w:ascii="Inter" w:eastAsia="Inter" w:hAnsi="Inter" w:cs="Inter"/>
                <w:sz w:val="19"/>
                <w:szCs w:val="19"/>
              </w:rPr>
              <w:t>Evaluates</w:t>
            </w:r>
            <w:proofErr w:type="gramEnd"/>
            <w:r w:rsidRPr="008D2515">
              <w:rPr>
                <w:rFonts w:ascii="Inter" w:eastAsia="Inter" w:hAnsi="Inter" w:cs="Inter"/>
                <w:sz w:val="19"/>
                <w:szCs w:val="19"/>
              </w:rPr>
              <w:t xml:space="preserve"> the nature and magnitude of expected effects (positive and negative) on customers and/or communities the project will serve or impact. For potential negative impacts, assess</w:t>
            </w:r>
            <w:r w:rsidR="000F0171">
              <w:rPr>
                <w:rFonts w:ascii="Inter" w:eastAsia="Inter" w:hAnsi="Inter" w:cs="Inter"/>
                <w:sz w:val="19"/>
                <w:szCs w:val="19"/>
              </w:rPr>
              <w:t>es</w:t>
            </w:r>
            <w:r w:rsidRPr="008D2515">
              <w:rPr>
                <w:rFonts w:ascii="Inter" w:eastAsia="Inter" w:hAnsi="Inter" w:cs="Inter"/>
                <w:sz w:val="19"/>
                <w:szCs w:val="19"/>
              </w:rPr>
              <w:t xml:space="preserve"> whether proposed mitigation measures are concrete and proportionate. </w:t>
            </w:r>
          </w:p>
          <w:p w14:paraId="435EA448"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 xml:space="preserve">Evaluates the project's relationship </w:t>
            </w:r>
            <w:proofErr w:type="gramStart"/>
            <w:r w:rsidRPr="008D2515">
              <w:rPr>
                <w:rFonts w:ascii="Inter" w:eastAsia="Inter" w:hAnsi="Inter" w:cs="Inter"/>
                <w:sz w:val="19"/>
                <w:szCs w:val="19"/>
              </w:rPr>
              <w:t>to</w:t>
            </w:r>
            <w:proofErr w:type="gramEnd"/>
            <w:r w:rsidRPr="008D2515">
              <w:rPr>
                <w:rFonts w:ascii="Inter" w:eastAsia="Inter" w:hAnsi="Inter" w:cs="Inter"/>
                <w:sz w:val="19"/>
                <w:szCs w:val="19"/>
              </w:rPr>
              <w:t xml:space="preserve"> local communities and the quality of the proposer's assessment of community-level impacts. </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20D139B9"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t>5</w:t>
            </w:r>
          </w:p>
        </w:tc>
      </w:tr>
      <w:tr w:rsidR="003510A4" w14:paraId="3818F3B4" w14:textId="77777777">
        <w:tc>
          <w:tcPr>
            <w:tcW w:w="600" w:type="dxa"/>
            <w:tcBorders>
              <w:top w:val="nil"/>
              <w:left w:val="single" w:sz="4" w:space="0" w:color="D9D9D9"/>
              <w:bottom w:val="nil"/>
              <w:right w:val="single" w:sz="4" w:space="0" w:color="D9D9D9"/>
            </w:tcBorders>
          </w:tcPr>
          <w:p w14:paraId="3B054A93"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C4</w:t>
            </w:r>
          </w:p>
        </w:tc>
        <w:tc>
          <w:tcPr>
            <w:tcW w:w="1650" w:type="dxa"/>
            <w:tcBorders>
              <w:top w:val="nil"/>
              <w:left w:val="single" w:sz="4" w:space="0" w:color="D9D9D9"/>
              <w:bottom w:val="nil"/>
              <w:right w:val="single" w:sz="4" w:space="0" w:color="D9D9D9"/>
            </w:tcBorders>
          </w:tcPr>
          <w:p w14:paraId="550AC03E"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Non-GHG environmental impacts</w:t>
            </w:r>
          </w:p>
        </w:tc>
        <w:tc>
          <w:tcPr>
            <w:tcW w:w="6960" w:type="dxa"/>
            <w:tcBorders>
              <w:top w:val="nil"/>
              <w:left w:val="single" w:sz="4" w:space="0" w:color="D9D9D9"/>
              <w:bottom w:val="nil"/>
              <w:right w:val="single" w:sz="4" w:space="0" w:color="D9D9D9"/>
            </w:tcBorders>
          </w:tcPr>
          <w:p w14:paraId="187DF85F" w14:textId="576BC327" w:rsidR="003510A4" w:rsidRPr="008D2515" w:rsidRDefault="00FF18D5">
            <w:pPr>
              <w:rPr>
                <w:rFonts w:ascii="Inter" w:eastAsia="Inter" w:hAnsi="Inter" w:cs="Inter"/>
                <w:sz w:val="19"/>
                <w:szCs w:val="19"/>
              </w:rPr>
            </w:pPr>
            <w:r w:rsidRPr="008D2515">
              <w:rPr>
                <w:rFonts w:ascii="Inter" w:eastAsia="Inter" w:hAnsi="Inter" w:cs="Inter"/>
                <w:sz w:val="19"/>
                <w:szCs w:val="19"/>
              </w:rPr>
              <w:t xml:space="preserve">Evaluates the </w:t>
            </w:r>
            <w:r w:rsidR="00636675">
              <w:rPr>
                <w:rFonts w:ascii="Inter" w:eastAsia="Inter" w:hAnsi="Inter" w:cs="Inter"/>
                <w:sz w:val="19"/>
                <w:szCs w:val="19"/>
              </w:rPr>
              <w:t xml:space="preserve">project’s </w:t>
            </w:r>
            <w:r w:rsidRPr="008D2515">
              <w:rPr>
                <w:rFonts w:ascii="Inter" w:eastAsia="Inter" w:hAnsi="Inter" w:cs="Inter"/>
                <w:sz w:val="19"/>
                <w:szCs w:val="19"/>
              </w:rPr>
              <w:t>potential for environmental impacts or benefits during construction and/or operation.</w:t>
            </w:r>
          </w:p>
        </w:tc>
        <w:tc>
          <w:tcPr>
            <w:tcW w:w="870" w:type="dxa"/>
            <w:tcBorders>
              <w:top w:val="nil"/>
              <w:left w:val="single" w:sz="4" w:space="0" w:color="D9D9D9"/>
              <w:bottom w:val="nil"/>
              <w:right w:val="single" w:sz="4" w:space="0" w:color="D9D9D9"/>
            </w:tcBorders>
          </w:tcPr>
          <w:p w14:paraId="33AE12EE"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2</w:t>
            </w:r>
          </w:p>
        </w:tc>
      </w:tr>
      <w:tr w:rsidR="003510A4" w14:paraId="1295F682" w14:textId="77777777">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049FF8E"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C5</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1DDC926"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Customer and community outreach and engagement</w:t>
            </w: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47A731F" w14:textId="3DD74C7D" w:rsidR="003510A4" w:rsidRPr="008D2515" w:rsidRDefault="00FF18D5">
            <w:pPr>
              <w:rPr>
                <w:rFonts w:ascii="Inter" w:eastAsia="Inter" w:hAnsi="Inter" w:cs="Inter"/>
                <w:sz w:val="19"/>
                <w:szCs w:val="19"/>
                <w:lang w:val="en-US"/>
              </w:rPr>
            </w:pPr>
            <w:r w:rsidRPr="316BCA20">
              <w:rPr>
                <w:rFonts w:ascii="Inter" w:eastAsia="Inter" w:hAnsi="Inter" w:cs="Inter"/>
                <w:sz w:val="19"/>
                <w:szCs w:val="19"/>
                <w:lang w:val="en-US"/>
              </w:rPr>
              <w:t>Assess</w:t>
            </w:r>
            <w:r w:rsidR="00636675" w:rsidRPr="316BCA20">
              <w:rPr>
                <w:rFonts w:ascii="Inter" w:eastAsia="Inter" w:hAnsi="Inter" w:cs="Inter"/>
                <w:sz w:val="19"/>
                <w:szCs w:val="19"/>
                <w:lang w:val="en-US"/>
              </w:rPr>
              <w:t>es</w:t>
            </w:r>
            <w:r w:rsidRPr="316BCA20">
              <w:rPr>
                <w:rFonts w:ascii="Inter" w:eastAsia="Inter" w:hAnsi="Inter" w:cs="Inter"/>
                <w:sz w:val="19"/>
                <w:szCs w:val="19"/>
                <w:lang w:val="en-US"/>
              </w:rPr>
              <w:t xml:space="preserve"> the quality of plan to identify parties impacted by the project, conduct outreach, manage concerns, and coordinate participation. Evaluates the quality and depth of the proposer's approach to engaging the customers/communities the project will serve or impact. Assess</w:t>
            </w:r>
            <w:r w:rsidR="005E2085" w:rsidRPr="316BCA20">
              <w:rPr>
                <w:rFonts w:ascii="Inter" w:eastAsia="Inter" w:hAnsi="Inter" w:cs="Inter"/>
                <w:sz w:val="19"/>
                <w:szCs w:val="19"/>
                <w:lang w:val="en-US"/>
              </w:rPr>
              <w:t>es</w:t>
            </w:r>
            <w:r w:rsidRPr="316BCA20">
              <w:rPr>
                <w:rFonts w:ascii="Inter" w:eastAsia="Inter" w:hAnsi="Inter" w:cs="Inter"/>
                <w:sz w:val="19"/>
                <w:szCs w:val="19"/>
                <w:lang w:val="en-US"/>
              </w:rPr>
              <w:t xml:space="preserve">: (a) whether the engagement strategy accounts for community-specific characteristics, including language access and culturally appropriate communication; (b) the quality of mechanisms for collecting and meaningfully incorporating diverse community viewpoints into project or program design; and (c) whether engagement has already occurred prior to submission — and if so, how it shaped the proposal — or whether a credible engagement plan is in place for the implementation period, </w:t>
            </w:r>
            <w:r w:rsidRPr="316BCA20">
              <w:rPr>
                <w:rFonts w:ascii="Inter" w:eastAsia="Inter" w:hAnsi="Inter" w:cs="Inter"/>
                <w:sz w:val="19"/>
                <w:szCs w:val="19"/>
                <w:lang w:val="en-US"/>
              </w:rPr>
              <w:lastRenderedPageBreak/>
              <w:t>including timeline, methods, and documentation approach. Assesses where the proposer has existing relationships with community-based organizations, tribal nations, or social service agencies, whether those relationships are described concretely and how they will inform implementation and engagement.</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789F4E91"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lastRenderedPageBreak/>
              <w:t>5</w:t>
            </w:r>
          </w:p>
        </w:tc>
      </w:tr>
      <w:tr w:rsidR="003510A4" w14:paraId="5AA1A99B" w14:textId="77777777">
        <w:trPr>
          <w:trHeight w:val="300"/>
        </w:trPr>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E1E8703"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C6</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42E30E5"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 xml:space="preserve">Cost impacts on low-income and named community customers </w:t>
            </w: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B167A83" w14:textId="1DA4382A" w:rsidR="003510A4" w:rsidRPr="008D2515" w:rsidRDefault="00FF18D5">
            <w:pPr>
              <w:rPr>
                <w:rFonts w:ascii="Inter" w:eastAsia="Inter" w:hAnsi="Inter" w:cs="Inter"/>
                <w:sz w:val="19"/>
                <w:szCs w:val="19"/>
                <w:lang w:val="en-US"/>
              </w:rPr>
            </w:pPr>
            <w:r w:rsidRPr="316BCA20">
              <w:rPr>
                <w:rFonts w:ascii="Inter" w:eastAsia="Inter" w:hAnsi="Inter" w:cs="Inter"/>
                <w:sz w:val="19"/>
                <w:szCs w:val="19"/>
                <w:lang w:val="en-US"/>
              </w:rPr>
              <w:t xml:space="preserve">Evaluates the projected cost impacts of the proposal on low-income customers </w:t>
            </w:r>
            <w:r w:rsidR="00007374" w:rsidRPr="316BCA20">
              <w:rPr>
                <w:rFonts w:ascii="Inter" w:eastAsia="Inter" w:hAnsi="Inter" w:cs="Inter"/>
                <w:sz w:val="19"/>
                <w:szCs w:val="19"/>
                <w:lang w:val="en-US"/>
              </w:rPr>
              <w:t>(expanding upon the pass/fail eligibility requirement EQ1.5 in Exhibit B)</w:t>
            </w:r>
            <w:r w:rsidR="00D33B71" w:rsidRPr="316BCA20">
              <w:rPr>
                <w:rFonts w:ascii="Inter" w:eastAsia="Inter" w:hAnsi="Inter" w:cs="Inter"/>
                <w:sz w:val="19"/>
                <w:szCs w:val="19"/>
                <w:lang w:val="en-US"/>
              </w:rPr>
              <w:t xml:space="preserve"> </w:t>
            </w:r>
            <w:r w:rsidRPr="316BCA20">
              <w:rPr>
                <w:rFonts w:ascii="Inter" w:eastAsia="Inter" w:hAnsi="Inter" w:cs="Inter"/>
                <w:sz w:val="19"/>
                <w:szCs w:val="19"/>
                <w:lang w:val="en-US"/>
              </w:rPr>
              <w:t xml:space="preserve">and customers in named communities. Assess (a) whether cost impacts are quantified for low-income and named community customers, including the timeframe over which they will occur; (b) the magnitude to which the proposal increases or decreases low-income and named community energy costs.    </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3866CBB5"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4</w:t>
            </w:r>
          </w:p>
        </w:tc>
      </w:tr>
      <w:tr w:rsidR="003510A4" w14:paraId="080F3470" w14:textId="77777777">
        <w:trPr>
          <w:trHeight w:val="300"/>
        </w:trPr>
        <w:tc>
          <w:tcPr>
            <w:tcW w:w="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6F48AC2"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C7</w:t>
            </w:r>
          </w:p>
        </w:tc>
        <w:tc>
          <w:tcPr>
            <w:tcW w:w="165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E7BFA15"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Equitable benefits distribution for low-income and named community customers</w:t>
            </w:r>
          </w:p>
        </w:tc>
        <w:tc>
          <w:tcPr>
            <w:tcW w:w="69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535EE04"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Evaluates whether program design ensures that benefits (monetary and nonmonetary) are equitably distributed, with particular attention to low-income customers and customers in named communities. Assess: (a) the projected share of program benefits flowing to low-income customers and/or to named communities and the credibility of that projection; (b) whether program design is structured to support equitable distribution; and (c) the quality of the plan to track, verify, and report on benefit distribution over the life of the program.</w:t>
            </w:r>
          </w:p>
        </w:tc>
        <w:tc>
          <w:tcPr>
            <w:tcW w:w="870" w:type="dxa"/>
            <w:tcBorders>
              <w:top w:val="single" w:sz="4" w:space="0" w:color="D9D9D9"/>
              <w:left w:val="single" w:sz="4" w:space="0" w:color="D9D9D9"/>
              <w:bottom w:val="single" w:sz="4" w:space="0" w:color="D9D9D9"/>
              <w:right w:val="single" w:sz="4" w:space="0" w:color="D9D9D9"/>
            </w:tcBorders>
            <w:shd w:val="clear" w:color="auto" w:fill="FFFFFF"/>
            <w:tcMar>
              <w:top w:w="80" w:type="dxa"/>
              <w:left w:w="120" w:type="dxa"/>
              <w:bottom w:w="80" w:type="dxa"/>
              <w:right w:w="120" w:type="dxa"/>
            </w:tcMar>
          </w:tcPr>
          <w:p w14:paraId="20F8E8FF"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3</w:t>
            </w:r>
          </w:p>
        </w:tc>
      </w:tr>
    </w:tbl>
    <w:p w14:paraId="4A5B7033" w14:textId="77777777" w:rsidR="003510A4" w:rsidRDefault="003510A4">
      <w:pPr>
        <w:rPr>
          <w:rFonts w:ascii="Inter" w:eastAsia="Inter" w:hAnsi="Inter" w:cs="Inter"/>
        </w:rPr>
      </w:pPr>
    </w:p>
    <w:p w14:paraId="30EC2141" w14:textId="77777777" w:rsidR="003510A4" w:rsidRDefault="003510A4">
      <w:pPr>
        <w:spacing w:before="160"/>
        <w:rPr>
          <w:rFonts w:ascii="Inter" w:eastAsia="Inter" w:hAnsi="Inter" w:cs="Inter"/>
        </w:rPr>
      </w:pPr>
    </w:p>
    <w:tbl>
      <w:tblPr>
        <w:tblStyle w:val="a6"/>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065"/>
        <w:gridCol w:w="2145"/>
      </w:tblGrid>
      <w:tr w:rsidR="003510A4" w14:paraId="7E0C2D66" w14:textId="77777777">
        <w:tc>
          <w:tcPr>
            <w:tcW w:w="900"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6DC49473" w14:textId="77777777" w:rsidR="003510A4" w:rsidRDefault="00FF18D5">
            <w:pPr>
              <w:jc w:val="center"/>
              <w:rPr>
                <w:rFonts w:ascii="Inter" w:eastAsia="Inter" w:hAnsi="Inter" w:cs="Inter"/>
              </w:rPr>
            </w:pPr>
            <w:r>
              <w:rPr>
                <w:rFonts w:ascii="Inter" w:eastAsia="Inter" w:hAnsi="Inter" w:cs="Inter"/>
                <w:b/>
                <w:bCs/>
                <w:color w:val="FFFFFF"/>
                <w:sz w:val="26"/>
                <w:szCs w:val="26"/>
              </w:rPr>
              <w:t>D</w:t>
            </w:r>
          </w:p>
        </w:tc>
        <w:tc>
          <w:tcPr>
            <w:tcW w:w="7065"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297FF7D0" w14:textId="77777777" w:rsidR="003510A4" w:rsidRDefault="00FF18D5">
            <w:pPr>
              <w:rPr>
                <w:rFonts w:ascii="Inter" w:eastAsia="Inter" w:hAnsi="Inter" w:cs="Inter"/>
              </w:rPr>
            </w:pPr>
            <w:r>
              <w:rPr>
                <w:rFonts w:ascii="Inter" w:eastAsia="Inter" w:hAnsi="Inter" w:cs="Inter"/>
                <w:b/>
                <w:bCs/>
                <w:color w:val="FFFFFF"/>
                <w:sz w:val="24"/>
                <w:szCs w:val="24"/>
              </w:rPr>
              <w:t>Domain-Specific Technical Criteria</w:t>
            </w:r>
          </w:p>
        </w:tc>
        <w:tc>
          <w:tcPr>
            <w:tcW w:w="2145"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2D52BFF4" w14:textId="77777777" w:rsidR="003510A4" w:rsidRDefault="00FF18D5">
            <w:pPr>
              <w:jc w:val="center"/>
              <w:rPr>
                <w:rFonts w:ascii="Inter" w:eastAsia="Inter" w:hAnsi="Inter" w:cs="Inter"/>
              </w:rPr>
            </w:pPr>
            <w:r>
              <w:rPr>
                <w:rFonts w:ascii="Inter" w:eastAsia="Inter" w:hAnsi="Inter" w:cs="Inter"/>
                <w:b/>
                <w:bCs/>
                <w:color w:val="FFFFFF"/>
                <w:sz w:val="17"/>
                <w:szCs w:val="17"/>
              </w:rPr>
              <w:t>Weight</w:t>
            </w:r>
          </w:p>
          <w:p w14:paraId="5A9AC1DD" w14:textId="77777777" w:rsidR="003510A4" w:rsidRDefault="00FF18D5">
            <w:pPr>
              <w:jc w:val="center"/>
              <w:rPr>
                <w:rFonts w:ascii="Inter" w:eastAsia="Inter" w:hAnsi="Inter" w:cs="Inter"/>
              </w:rPr>
            </w:pPr>
            <w:r>
              <w:rPr>
                <w:rFonts w:ascii="Inter" w:eastAsia="Inter" w:hAnsi="Inter" w:cs="Inter"/>
                <w:b/>
                <w:bCs/>
                <w:color w:val="FFFFFF"/>
                <w:sz w:val="24"/>
                <w:szCs w:val="24"/>
              </w:rPr>
              <w:t>15%</w:t>
            </w:r>
          </w:p>
        </w:tc>
      </w:tr>
    </w:tbl>
    <w:p w14:paraId="34369465" w14:textId="77777777" w:rsidR="003510A4" w:rsidRDefault="003510A4">
      <w:pPr>
        <w:spacing w:before="40"/>
        <w:rPr>
          <w:rFonts w:ascii="Inter" w:eastAsia="Inter" w:hAnsi="Inter" w:cs="Inter"/>
        </w:rPr>
      </w:pPr>
    </w:p>
    <w:p w14:paraId="2CE7C793" w14:textId="77777777" w:rsidR="003510A4" w:rsidRDefault="00FF18D5">
      <w:pPr>
        <w:spacing w:after="80"/>
        <w:rPr>
          <w:rFonts w:ascii="Inter" w:eastAsia="Inter" w:hAnsi="Inter" w:cs="Inter"/>
          <w:color w:val="000000"/>
          <w:sz w:val="20"/>
          <w:szCs w:val="20"/>
        </w:rPr>
      </w:pPr>
      <w:r w:rsidRPr="4ADF6E87">
        <w:rPr>
          <w:rFonts w:ascii="Inter" w:eastAsia="Inter" w:hAnsi="Inter" w:cs="Inter"/>
          <w:color w:val="000000" w:themeColor="text1"/>
          <w:sz w:val="20"/>
          <w:szCs w:val="20"/>
        </w:rPr>
        <w:t xml:space="preserve">Proposals are evaluated against the specific technical criteria for their primary domain. Each domain reflects a distinct type of gas system decarbonization intervention. Proposals are scored within their domain and that domain score constitutes the </w:t>
      </w:r>
      <w:proofErr w:type="gramStart"/>
      <w:r w:rsidRPr="4ADF6E87">
        <w:rPr>
          <w:rFonts w:ascii="Inter" w:eastAsia="Inter" w:hAnsi="Inter" w:cs="Inter"/>
          <w:color w:val="000000" w:themeColor="text1"/>
          <w:sz w:val="20"/>
          <w:szCs w:val="20"/>
        </w:rPr>
        <w:t>Principle</w:t>
      </w:r>
      <w:proofErr w:type="gramEnd"/>
      <w:r w:rsidRPr="4ADF6E87">
        <w:rPr>
          <w:rFonts w:ascii="Inter" w:eastAsia="Inter" w:hAnsi="Inter" w:cs="Inter"/>
          <w:color w:val="000000" w:themeColor="text1"/>
          <w:sz w:val="20"/>
          <w:szCs w:val="20"/>
        </w:rPr>
        <w:t xml:space="preserve"> </w:t>
      </w:r>
      <w:r>
        <w:rPr>
          <w:rFonts w:ascii="Inter" w:eastAsia="Inter" w:hAnsi="Inter" w:cs="Inter"/>
          <w:sz w:val="20"/>
          <w:szCs w:val="20"/>
        </w:rPr>
        <w:t>D</w:t>
      </w:r>
      <w:r w:rsidRPr="4ADF6E87">
        <w:rPr>
          <w:rFonts w:ascii="Inter" w:eastAsia="Inter" w:hAnsi="Inter" w:cs="Inter"/>
          <w:color w:val="000000" w:themeColor="text1"/>
          <w:sz w:val="20"/>
          <w:szCs w:val="20"/>
        </w:rPr>
        <w:t xml:space="preserve"> contribution to the composite evaluation. This enables valid comparison of similar proposals against domain-specific benchmarks.</w:t>
      </w:r>
    </w:p>
    <w:p w14:paraId="52E026EC" w14:textId="75FA2009" w:rsidR="003510A4" w:rsidRDefault="00FF18D5" w:rsidP="316BCA20">
      <w:pPr>
        <w:spacing w:after="80" w:line="259" w:lineRule="auto"/>
        <w:rPr>
          <w:rFonts w:ascii="Inter" w:eastAsia="Inter" w:hAnsi="Inter" w:cs="Inter"/>
          <w:lang w:val="en-US"/>
        </w:rPr>
      </w:pPr>
      <w:r w:rsidRPr="316BCA20">
        <w:rPr>
          <w:rFonts w:ascii="Inter" w:eastAsia="Inter" w:hAnsi="Inter" w:cs="Inter"/>
          <w:sz w:val="20"/>
          <w:szCs w:val="20"/>
          <w:lang w:val="en-US"/>
        </w:rPr>
        <w:t xml:space="preserve">Approaches are split into three classifications: demand-side, supply-side, and Carbon Capture Utilization and Storage (CCUS). Respondents are responsible for filling out the section that </w:t>
      </w:r>
      <w:proofErr w:type="gramStart"/>
      <w:r w:rsidRPr="316BCA20">
        <w:rPr>
          <w:rFonts w:ascii="Inter" w:eastAsia="Inter" w:hAnsi="Inter" w:cs="Inter"/>
          <w:sz w:val="20"/>
          <w:szCs w:val="20"/>
          <w:lang w:val="en-US"/>
        </w:rPr>
        <w:t>most align</w:t>
      </w:r>
      <w:r w:rsidR="00484718" w:rsidRPr="316BCA20">
        <w:rPr>
          <w:rFonts w:ascii="Inter" w:eastAsia="Inter" w:hAnsi="Inter" w:cs="Inter"/>
          <w:sz w:val="20"/>
          <w:szCs w:val="20"/>
          <w:lang w:val="en-US"/>
        </w:rPr>
        <w:t>s</w:t>
      </w:r>
      <w:proofErr w:type="gramEnd"/>
      <w:r w:rsidRPr="316BCA20">
        <w:rPr>
          <w:rFonts w:ascii="Inter" w:eastAsia="Inter" w:hAnsi="Inter" w:cs="Inter"/>
          <w:sz w:val="20"/>
          <w:szCs w:val="20"/>
          <w:lang w:val="en-US"/>
        </w:rPr>
        <w:t xml:space="preserve"> with their approach.</w:t>
      </w:r>
      <w:r w:rsidRPr="316BCA20">
        <w:rPr>
          <w:rFonts w:ascii="Inter" w:eastAsia="Inter" w:hAnsi="Inter" w:cs="Inter"/>
          <w:color w:val="000000" w:themeColor="text1"/>
          <w:sz w:val="20"/>
          <w:szCs w:val="20"/>
          <w:lang w:val="en-US"/>
        </w:rPr>
        <w:t xml:space="preserve"> For hybrid approaches, respondents </w:t>
      </w:r>
      <w:r w:rsidRPr="316BCA20">
        <w:rPr>
          <w:rFonts w:ascii="Inter" w:eastAsia="Inter" w:hAnsi="Inter" w:cs="Inter"/>
          <w:sz w:val="20"/>
          <w:szCs w:val="20"/>
          <w:lang w:val="en-US"/>
        </w:rPr>
        <w:t xml:space="preserve">are asked to fill out </w:t>
      </w:r>
      <w:r w:rsidR="40879841" w:rsidRPr="316BCA20">
        <w:rPr>
          <w:rFonts w:ascii="Inter" w:eastAsia="Inter" w:hAnsi="Inter" w:cs="Inter"/>
          <w:sz w:val="20"/>
          <w:szCs w:val="20"/>
          <w:lang w:val="en-US"/>
        </w:rPr>
        <w:t xml:space="preserve">all </w:t>
      </w:r>
      <w:r w:rsidRPr="316BCA20">
        <w:rPr>
          <w:rFonts w:ascii="Inter" w:eastAsia="Inter" w:hAnsi="Inter" w:cs="Inter"/>
          <w:sz w:val="20"/>
          <w:szCs w:val="20"/>
          <w:lang w:val="en-US"/>
        </w:rPr>
        <w:t xml:space="preserve">applicable </w:t>
      </w:r>
      <w:r w:rsidR="00596C38" w:rsidRPr="316BCA20">
        <w:rPr>
          <w:rFonts w:ascii="Inter" w:eastAsia="Inter" w:hAnsi="Inter" w:cs="Inter"/>
          <w:sz w:val="20"/>
          <w:szCs w:val="20"/>
          <w:lang w:val="en-US"/>
        </w:rPr>
        <w:t>section</w:t>
      </w:r>
      <w:r w:rsidR="32883F21" w:rsidRPr="316BCA20">
        <w:rPr>
          <w:rFonts w:ascii="Inter" w:eastAsia="Inter" w:hAnsi="Inter" w:cs="Inter"/>
          <w:sz w:val="20"/>
          <w:szCs w:val="20"/>
          <w:lang w:val="en-US"/>
        </w:rPr>
        <w:t>s</w:t>
      </w:r>
      <w:r w:rsidRPr="316BCA20">
        <w:rPr>
          <w:rFonts w:ascii="Inter" w:eastAsia="Inter" w:hAnsi="Inter" w:cs="Inter"/>
          <w:sz w:val="20"/>
          <w:szCs w:val="20"/>
          <w:lang w:val="en-US"/>
        </w:rPr>
        <w:t xml:space="preserve">. </w:t>
      </w:r>
    </w:p>
    <w:p w14:paraId="7C420160" w14:textId="77777777" w:rsidR="003510A4" w:rsidRDefault="003510A4">
      <w:pPr>
        <w:spacing w:before="60"/>
        <w:rPr>
          <w:rFonts w:ascii="Inter" w:eastAsia="Inter" w:hAnsi="Inter" w:cs="Inter"/>
        </w:rPr>
      </w:pPr>
    </w:p>
    <w:tbl>
      <w:tblPr>
        <w:tblStyle w:val="a7"/>
        <w:tblW w:w="101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70"/>
      </w:tblGrid>
      <w:tr w:rsidR="003510A4" w14:paraId="0C0E4A6B" w14:textId="77777777">
        <w:tc>
          <w:tcPr>
            <w:tcW w:w="10170"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0B3BB152" w14:textId="3F3E07BD" w:rsidR="003510A4" w:rsidRDefault="00FF18D5">
            <w:pPr>
              <w:rPr>
                <w:rFonts w:ascii="Inter" w:eastAsia="Inter" w:hAnsi="Inter" w:cs="Inter"/>
              </w:rPr>
            </w:pPr>
            <w:r>
              <w:rPr>
                <w:rFonts w:ascii="Inter" w:eastAsia="Inter" w:hAnsi="Inter" w:cs="Inter"/>
                <w:b/>
                <w:bCs/>
                <w:color w:val="FFFFFF"/>
                <w:sz w:val="21"/>
                <w:szCs w:val="21"/>
              </w:rPr>
              <w:t>D1 — Demand Side Technical Criteria</w:t>
            </w:r>
          </w:p>
        </w:tc>
      </w:tr>
      <w:tr w:rsidR="003510A4" w14:paraId="0FA1FAF4" w14:textId="77777777">
        <w:tc>
          <w:tcPr>
            <w:tcW w:w="10170"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1B49A41E" w14:textId="0A6C9402" w:rsidR="003510A4" w:rsidRDefault="005C52C2">
            <w:pPr>
              <w:rPr>
                <w:rFonts w:ascii="Inter" w:eastAsia="Inter" w:hAnsi="Inter" w:cs="Inter"/>
                <w:i/>
                <w:iCs/>
                <w:color w:val="595959"/>
                <w:sz w:val="19"/>
                <w:szCs w:val="19"/>
              </w:rPr>
            </w:pPr>
            <w:r w:rsidRPr="4ADF6E87">
              <w:rPr>
                <w:rFonts w:ascii="Inter" w:eastAsia="Inter" w:hAnsi="Inter" w:cs="Inter"/>
                <w:i/>
                <w:color w:val="595959" w:themeColor="text1" w:themeTint="A6"/>
                <w:sz w:val="19"/>
                <w:szCs w:val="19"/>
              </w:rPr>
              <w:t>D1 applies to p</w:t>
            </w:r>
            <w:r w:rsidR="00D5401E" w:rsidRPr="4ADF6E87">
              <w:rPr>
                <w:rFonts w:ascii="Inter" w:eastAsia="Inter" w:hAnsi="Inter" w:cs="Inter"/>
                <w:i/>
                <w:color w:val="595959" w:themeColor="text1" w:themeTint="A6"/>
                <w:sz w:val="19"/>
                <w:szCs w:val="19"/>
              </w:rPr>
              <w:t>rojects whose primary goal is reducing or eliminating gas consumption at the building or customer level. Includes fuel-switching interventions (heat pumps, heat pump water heaters, whole-building electrification, weatherization-first electrification packages) and efficiency-only interventions (standalone weatherization, high-efficiency appliance upgrades, behavioral programs, and commercial/industrial efficiency solutions).</w:t>
            </w:r>
          </w:p>
          <w:p w14:paraId="7329E40B" w14:textId="77777777" w:rsidR="003510A4" w:rsidRDefault="003510A4">
            <w:pPr>
              <w:rPr>
                <w:rFonts w:ascii="Inter" w:eastAsia="Inter" w:hAnsi="Inter" w:cs="Inter"/>
                <w:i/>
                <w:iCs/>
                <w:color w:val="595959"/>
                <w:sz w:val="19"/>
                <w:szCs w:val="19"/>
              </w:rPr>
            </w:pPr>
          </w:p>
          <w:p w14:paraId="291E6F56" w14:textId="77777777" w:rsidR="003510A4" w:rsidRDefault="00FF18D5">
            <w:pPr>
              <w:rPr>
                <w:rFonts w:ascii="Inter" w:eastAsia="Inter" w:hAnsi="Inter" w:cs="Inter"/>
                <w:i/>
                <w:color w:val="595959"/>
                <w:sz w:val="19"/>
                <w:szCs w:val="19"/>
                <w:lang w:val="en-US"/>
              </w:rPr>
            </w:pPr>
            <w:r w:rsidRPr="316BCA20">
              <w:rPr>
                <w:rFonts w:ascii="Inter" w:eastAsia="Inter" w:hAnsi="Inter" w:cs="Inter"/>
                <w:i/>
                <w:color w:val="595959" w:themeColor="text1" w:themeTint="A6"/>
                <w:sz w:val="19"/>
                <w:szCs w:val="19"/>
                <w:lang w:val="en-US"/>
              </w:rPr>
              <w:t xml:space="preserve">Per RCW 80.86.070, projects must not include any form of rebate, incentive, or other inducement to residential natural gas customers to purchase any natural gas appliance or equipment (for example, a more efficient natural gas appliance). Exceptions in effect through January 1, </w:t>
            </w:r>
            <w:proofErr w:type="gramStart"/>
            <w:r w:rsidRPr="316BCA20">
              <w:rPr>
                <w:rFonts w:ascii="Inter" w:eastAsia="Inter" w:hAnsi="Inter" w:cs="Inter"/>
                <w:i/>
                <w:color w:val="595959" w:themeColor="text1" w:themeTint="A6"/>
                <w:sz w:val="19"/>
                <w:szCs w:val="19"/>
                <w:lang w:val="en-US"/>
              </w:rPr>
              <w:t>2031</w:t>
            </w:r>
            <w:proofErr w:type="gramEnd"/>
            <w:r w:rsidRPr="316BCA20">
              <w:rPr>
                <w:rFonts w:ascii="Inter" w:eastAsia="Inter" w:hAnsi="Inter" w:cs="Inter"/>
                <w:i/>
                <w:color w:val="595959" w:themeColor="text1" w:themeTint="A6"/>
                <w:sz w:val="19"/>
                <w:szCs w:val="19"/>
                <w:lang w:val="en-US"/>
              </w:rPr>
              <w:t xml:space="preserve"> include rebates and incentives for electric heat pumps that include natural gas backups and rebates and incentives for commercial and industrial gas customers.</w:t>
            </w:r>
          </w:p>
        </w:tc>
      </w:tr>
    </w:tbl>
    <w:p w14:paraId="54252BC5" w14:textId="77777777" w:rsidR="003510A4" w:rsidRDefault="003510A4">
      <w:pPr>
        <w:spacing w:before="40"/>
        <w:rPr>
          <w:rFonts w:ascii="Inter" w:eastAsia="Inter" w:hAnsi="Inter" w:cs="Inter"/>
        </w:rPr>
      </w:pPr>
    </w:p>
    <w:tbl>
      <w:tblPr>
        <w:tblStyle w:val="a8"/>
        <w:tblW w:w="101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0"/>
        <w:gridCol w:w="1495"/>
        <w:gridCol w:w="7130"/>
        <w:gridCol w:w="855"/>
      </w:tblGrid>
      <w:tr w:rsidR="003510A4" w14:paraId="61C4FEBD" w14:textId="77777777">
        <w:tc>
          <w:tcPr>
            <w:tcW w:w="660"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310D0932" w14:textId="77777777" w:rsidR="003510A4" w:rsidRDefault="00FF18D5">
            <w:pPr>
              <w:rPr>
                <w:rFonts w:ascii="Inter" w:eastAsia="Inter" w:hAnsi="Inter" w:cs="Inter"/>
              </w:rPr>
            </w:pPr>
            <w:r>
              <w:rPr>
                <w:rFonts w:ascii="Inter" w:eastAsia="Inter" w:hAnsi="Inter" w:cs="Inter"/>
                <w:b/>
                <w:bCs/>
                <w:color w:val="FFFFFF"/>
                <w:sz w:val="19"/>
                <w:szCs w:val="19"/>
              </w:rPr>
              <w:t>ID</w:t>
            </w:r>
          </w:p>
        </w:tc>
        <w:tc>
          <w:tcPr>
            <w:tcW w:w="1495"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5C269AD4" w14:textId="77777777" w:rsidR="003510A4" w:rsidRDefault="00FF18D5">
            <w:pPr>
              <w:rPr>
                <w:rFonts w:ascii="Inter" w:eastAsia="Inter" w:hAnsi="Inter" w:cs="Inter"/>
              </w:rPr>
            </w:pPr>
            <w:r>
              <w:rPr>
                <w:rFonts w:ascii="Inter" w:eastAsia="Inter" w:hAnsi="Inter" w:cs="Inter"/>
                <w:b/>
                <w:bCs/>
                <w:color w:val="FFFFFF"/>
                <w:sz w:val="19"/>
                <w:szCs w:val="19"/>
              </w:rPr>
              <w:t>Criterion</w:t>
            </w:r>
          </w:p>
        </w:tc>
        <w:tc>
          <w:tcPr>
            <w:tcW w:w="7130"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500EA4C9" w14:textId="77777777" w:rsidR="003510A4" w:rsidRDefault="00FF18D5">
            <w:pPr>
              <w:rPr>
                <w:rFonts w:ascii="Inter" w:eastAsia="Inter" w:hAnsi="Inter" w:cs="Inter"/>
              </w:rPr>
            </w:pPr>
            <w:r>
              <w:rPr>
                <w:rFonts w:ascii="Inter" w:eastAsia="Inter" w:hAnsi="Inter" w:cs="Inter"/>
                <w:b/>
                <w:bCs/>
                <w:color w:val="FFFFFF"/>
                <w:sz w:val="19"/>
                <w:szCs w:val="19"/>
              </w:rPr>
              <w:t>Description</w:t>
            </w:r>
          </w:p>
        </w:tc>
        <w:tc>
          <w:tcPr>
            <w:tcW w:w="855"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5CD490D4" w14:textId="77777777" w:rsidR="003510A4" w:rsidRDefault="00FF18D5">
            <w:pPr>
              <w:rPr>
                <w:rFonts w:ascii="Inter" w:eastAsia="Inter" w:hAnsi="Inter" w:cs="Inter"/>
                <w:b/>
                <w:bCs/>
                <w:color w:val="FFFFFF"/>
                <w:sz w:val="19"/>
                <w:szCs w:val="19"/>
              </w:rPr>
            </w:pPr>
            <w:r>
              <w:rPr>
                <w:rFonts w:ascii="Inter" w:eastAsia="Inter" w:hAnsi="Inter" w:cs="Inter"/>
                <w:b/>
                <w:bCs/>
                <w:color w:val="FFFFFF"/>
                <w:sz w:val="19"/>
                <w:szCs w:val="19"/>
              </w:rPr>
              <w:t>Points</w:t>
            </w:r>
          </w:p>
        </w:tc>
      </w:tr>
      <w:tr w:rsidR="003510A4" w14:paraId="689F51FD"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D6D7DD0"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D1.1</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C8076A5"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 xml:space="preserve">Technology Specification &amp; </w:t>
            </w:r>
            <w:r w:rsidRPr="008D2515">
              <w:rPr>
                <w:rFonts w:ascii="Inter" w:eastAsia="Inter" w:hAnsi="Inter" w:cs="Inter"/>
                <w:b/>
                <w:bCs/>
                <w:sz w:val="19"/>
                <w:szCs w:val="19"/>
              </w:rPr>
              <w:lastRenderedPageBreak/>
              <w:t>Performance Standards</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75468DC" w14:textId="1209CD22" w:rsidR="003510A4" w:rsidRPr="008D2515" w:rsidRDefault="00FF18D5">
            <w:pPr>
              <w:spacing w:line="259" w:lineRule="auto"/>
              <w:rPr>
                <w:rFonts w:ascii="Inter" w:eastAsia="Inter" w:hAnsi="Inter" w:cs="Inter"/>
                <w:sz w:val="19"/>
                <w:szCs w:val="19"/>
                <w:lang w:val="en-US"/>
              </w:rPr>
            </w:pPr>
            <w:r w:rsidRPr="316BCA20">
              <w:rPr>
                <w:rFonts w:ascii="Inter" w:eastAsia="Inter" w:hAnsi="Inter" w:cs="Inter"/>
                <w:sz w:val="19"/>
                <w:szCs w:val="19"/>
                <w:lang w:val="en-US"/>
              </w:rPr>
              <w:lastRenderedPageBreak/>
              <w:t xml:space="preserve">Specificity and rigor of equipment specifications and performance standards </w:t>
            </w:r>
            <w:proofErr w:type="gramStart"/>
            <w:r w:rsidRPr="316BCA20">
              <w:rPr>
                <w:rFonts w:ascii="Inter" w:eastAsia="Inter" w:hAnsi="Inter" w:cs="Inter"/>
                <w:sz w:val="19"/>
                <w:szCs w:val="19"/>
                <w:lang w:val="en-US"/>
              </w:rPr>
              <w:t>relative</w:t>
            </w:r>
            <w:proofErr w:type="gramEnd"/>
            <w:r w:rsidRPr="316BCA20">
              <w:rPr>
                <w:rFonts w:ascii="Inter" w:eastAsia="Inter" w:hAnsi="Inter" w:cs="Inter"/>
                <w:sz w:val="19"/>
                <w:szCs w:val="19"/>
                <w:lang w:val="en-US"/>
              </w:rPr>
              <w:t xml:space="preserve"> to the building types and climate zones served; cold-</w:t>
            </w:r>
            <w:r w:rsidRPr="316BCA20">
              <w:rPr>
                <w:rFonts w:ascii="Inter" w:eastAsia="Inter" w:hAnsi="Inter" w:cs="Inter"/>
                <w:sz w:val="19"/>
                <w:szCs w:val="19"/>
                <w:lang w:val="en-US"/>
              </w:rPr>
              <w:lastRenderedPageBreak/>
              <w:t>climate performance for Washington conditions (e.g., HSPF2/COP ratings); compliance with NEEA or equivalent standards. Compliance with WA State code.</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C47C6B7"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lastRenderedPageBreak/>
              <w:t>1</w:t>
            </w:r>
          </w:p>
        </w:tc>
      </w:tr>
      <w:tr w:rsidR="003510A4" w14:paraId="09B7F33E"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3194C53"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D1.2</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C91D7D5"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Building Readiness &amp; Retrofit Sequencing</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211CB63" w14:textId="77777777" w:rsidR="003510A4" w:rsidRPr="008D2515" w:rsidRDefault="00FF18D5">
            <w:pPr>
              <w:rPr>
                <w:rFonts w:ascii="Inter" w:eastAsia="Inter" w:hAnsi="Inter" w:cs="Inter"/>
                <w:sz w:val="19"/>
                <w:szCs w:val="19"/>
                <w:lang w:val="en-US"/>
              </w:rPr>
            </w:pPr>
            <w:r w:rsidRPr="316BCA20">
              <w:rPr>
                <w:rFonts w:ascii="Inter" w:eastAsia="Inter" w:hAnsi="Inter" w:cs="Inter"/>
                <w:sz w:val="19"/>
                <w:szCs w:val="19"/>
                <w:lang w:val="en-US"/>
              </w:rPr>
              <w:t>Evaluates quality of the approach to assessing building suitability and sequencing interventions prior to installation. For electrification projects: assessment of electrical panel capacity, weatherization prerequisites for fuel switching, and approach to structural or systems constraints (e.g., duct compatibility, insulation adequacy). Proposals should describe how weatherization-first sequencing is implemented where required and how hard-to-electrify building types are identified and addressed. For efficiency-only projects: approach to baseline energy assessment, measure prioritization, and whole-building vs. single-measure strategy.</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FB479F8"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t>3</w:t>
            </w:r>
          </w:p>
        </w:tc>
      </w:tr>
      <w:tr w:rsidR="003510A4" w14:paraId="48DC5B23"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0FB4452"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D1.3</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727903D5"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Grid Integration &amp; Load Management</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79500EF" w14:textId="77777777" w:rsidR="003510A4" w:rsidRPr="008D2515" w:rsidRDefault="00FF18D5">
            <w:pPr>
              <w:spacing w:line="259" w:lineRule="auto"/>
              <w:rPr>
                <w:rFonts w:ascii="Inter" w:eastAsia="Inter" w:hAnsi="Inter" w:cs="Inter"/>
                <w:sz w:val="19"/>
                <w:szCs w:val="19"/>
                <w:lang w:val="en-US"/>
              </w:rPr>
            </w:pPr>
            <w:r w:rsidRPr="52A52F4F">
              <w:rPr>
                <w:rFonts w:ascii="Inter" w:eastAsia="Inter" w:hAnsi="Inter" w:cs="Inter"/>
                <w:sz w:val="19"/>
                <w:szCs w:val="19"/>
                <w:lang w:val="en-US"/>
              </w:rPr>
              <w:t xml:space="preserve">Evaluates quality of the assessment of new electrical </w:t>
            </w:r>
            <w:proofErr w:type="gramStart"/>
            <w:r w:rsidRPr="52A52F4F">
              <w:rPr>
                <w:rFonts w:ascii="Inter" w:eastAsia="Inter" w:hAnsi="Inter" w:cs="Inter"/>
                <w:sz w:val="19"/>
                <w:szCs w:val="19"/>
                <w:lang w:val="en-US"/>
              </w:rPr>
              <w:t>load</w:t>
            </w:r>
            <w:proofErr w:type="gramEnd"/>
            <w:r w:rsidRPr="52A52F4F">
              <w:rPr>
                <w:rFonts w:ascii="Inter" w:eastAsia="Inter" w:hAnsi="Inter" w:cs="Inter"/>
                <w:sz w:val="19"/>
                <w:szCs w:val="19"/>
                <w:lang w:val="en-US"/>
              </w:rPr>
              <w:t xml:space="preserve"> addition to the relevant utility distribution system; plan for coordination with relevant utility’s distribution planning; smart controls or load management provisions.</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A51A2B9"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t>3</w:t>
            </w:r>
          </w:p>
        </w:tc>
      </w:tr>
      <w:tr w:rsidR="003510A4" w:rsidRPr="008D2515" w14:paraId="44342258"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8A135F1"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D1.4</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B9F2B6D"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Customer Access &amp; Program Accessibility</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451DC5F" w14:textId="700C50F3" w:rsidR="003510A4" w:rsidRPr="008D2515" w:rsidRDefault="00FF18D5">
            <w:pPr>
              <w:rPr>
                <w:rFonts w:ascii="Inter" w:eastAsia="Inter" w:hAnsi="Inter" w:cs="Inter"/>
                <w:sz w:val="19"/>
                <w:szCs w:val="19"/>
                <w:lang w:val="en-US"/>
              </w:rPr>
            </w:pPr>
            <w:r w:rsidRPr="52A52F4F">
              <w:rPr>
                <w:rFonts w:ascii="Inter" w:eastAsia="Inter" w:hAnsi="Inter" w:cs="Inter"/>
                <w:sz w:val="19"/>
                <w:szCs w:val="19"/>
                <w:lang w:val="en-US"/>
              </w:rPr>
              <w:t>Assesses the quality of plans to address: (a) upfront cost barriers and proposed mechanisms to overcome them; (b) program design features that reduce participation friction (eligibility simplicity, outreach, language access, enrollment process); (c) customer recruitment priorities and approach where applicable and (d) the proposer's strategy for sustained customer engagement and long-term system operation. Addresses barriers to participation (upfront cost, awareness, eligibility complexity) for customers.</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3801861"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2</w:t>
            </w:r>
          </w:p>
        </w:tc>
      </w:tr>
      <w:tr w:rsidR="003510A4" w:rsidRPr="008D2515" w14:paraId="2FD31072"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F167365"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D1.5</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B55B2F9" w14:textId="77777777" w:rsidR="003510A4" w:rsidRPr="008D2515" w:rsidRDefault="00FF18D5">
            <w:pPr>
              <w:rPr>
                <w:sz w:val="19"/>
                <w:szCs w:val="19"/>
              </w:rPr>
            </w:pPr>
            <w:r w:rsidRPr="008D2515">
              <w:rPr>
                <w:rFonts w:ascii="Inter" w:eastAsia="Inter" w:hAnsi="Inter" w:cs="Inter"/>
                <w:b/>
                <w:bCs/>
                <w:sz w:val="19"/>
                <w:szCs w:val="19"/>
              </w:rPr>
              <w:t>Localized Value</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1BFC6A8"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If applicable, evaluates the value of targeted electrification that occurs in geographic locations of sufficient impact as described in Appendix A of the RFP.</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53510D2"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2</w:t>
            </w:r>
          </w:p>
        </w:tc>
      </w:tr>
      <w:tr w:rsidR="003510A4" w:rsidRPr="008D2515" w14:paraId="060B1BA4" w14:textId="77777777">
        <w:tc>
          <w:tcPr>
            <w:tcW w:w="66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F2ABC2E"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D1.6</w:t>
            </w:r>
          </w:p>
        </w:tc>
        <w:tc>
          <w:tcPr>
            <w:tcW w:w="149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5821797" w14:textId="1EC7D27E" w:rsidR="003510A4" w:rsidRPr="008D2515" w:rsidRDefault="00FF18D5">
            <w:pPr>
              <w:rPr>
                <w:rFonts w:ascii="Inter" w:eastAsia="Inter" w:hAnsi="Inter" w:cs="Inter"/>
                <w:b/>
                <w:bCs/>
                <w:sz w:val="19"/>
                <w:szCs w:val="19"/>
              </w:rPr>
            </w:pPr>
            <w:proofErr w:type="gramStart"/>
            <w:r w:rsidRPr="008D2515">
              <w:rPr>
                <w:rFonts w:ascii="Inter" w:eastAsia="Inter" w:hAnsi="Inter" w:cs="Inter"/>
                <w:b/>
                <w:bCs/>
                <w:sz w:val="19"/>
                <w:szCs w:val="19"/>
              </w:rPr>
              <w:t>Participatin</w:t>
            </w:r>
            <w:r w:rsidR="009866A9">
              <w:rPr>
                <w:rFonts w:ascii="Inter" w:eastAsia="Inter" w:hAnsi="Inter" w:cs="Inter"/>
                <w:b/>
                <w:bCs/>
                <w:sz w:val="19"/>
                <w:szCs w:val="19"/>
              </w:rPr>
              <w:t>g</w:t>
            </w:r>
            <w:proofErr w:type="gramEnd"/>
            <w:r w:rsidR="009866A9">
              <w:rPr>
                <w:rFonts w:ascii="Inter" w:eastAsia="Inter" w:hAnsi="Inter" w:cs="Inter"/>
                <w:b/>
                <w:bCs/>
                <w:sz w:val="19"/>
                <w:szCs w:val="19"/>
              </w:rPr>
              <w:t xml:space="preserve"> </w:t>
            </w:r>
            <w:r w:rsidRPr="008D2515">
              <w:rPr>
                <w:rFonts w:ascii="Inter" w:eastAsia="Inter" w:hAnsi="Inter" w:cs="Inter"/>
                <w:b/>
                <w:bCs/>
                <w:sz w:val="19"/>
                <w:szCs w:val="19"/>
              </w:rPr>
              <w:t>Customer Cost Impact</w:t>
            </w:r>
          </w:p>
        </w:tc>
        <w:tc>
          <w:tcPr>
            <w:tcW w:w="713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ACFBE64" w14:textId="437B9EB5" w:rsidR="003510A4" w:rsidRPr="008D2515" w:rsidRDefault="00FF18D5">
            <w:pPr>
              <w:rPr>
                <w:rFonts w:ascii="Inter" w:eastAsia="Inter" w:hAnsi="Inter" w:cs="Inter"/>
                <w:sz w:val="19"/>
                <w:szCs w:val="19"/>
                <w:lang w:val="en-US"/>
              </w:rPr>
            </w:pPr>
            <w:r w:rsidRPr="316BCA20">
              <w:rPr>
                <w:rFonts w:ascii="Inter" w:eastAsia="Inter" w:hAnsi="Inter" w:cs="Inter"/>
                <w:sz w:val="19"/>
                <w:szCs w:val="19"/>
                <w:lang w:val="en-US"/>
              </w:rPr>
              <w:t xml:space="preserve">Evaluates the program’s impact on participating customers’ energy costs. Based on estimated average annual </w:t>
            </w:r>
            <w:proofErr w:type="spellStart"/>
            <w:r w:rsidRPr="316BCA20">
              <w:rPr>
                <w:rFonts w:ascii="Inter" w:eastAsia="Inter" w:hAnsi="Inter" w:cs="Inter"/>
                <w:sz w:val="19"/>
                <w:szCs w:val="19"/>
                <w:lang w:val="en-US"/>
              </w:rPr>
              <w:t>therm</w:t>
            </w:r>
            <w:proofErr w:type="spellEnd"/>
            <w:r w:rsidRPr="316BCA20">
              <w:rPr>
                <w:rFonts w:ascii="Inter" w:eastAsia="Inter" w:hAnsi="Inter" w:cs="Inter"/>
                <w:sz w:val="19"/>
                <w:szCs w:val="19"/>
                <w:lang w:val="en-US"/>
              </w:rPr>
              <w:t xml:space="preserve"> savings per customer and annual kwh or equivalent increases per customer, PSE will calculate </w:t>
            </w:r>
            <w:r w:rsidR="009866A9" w:rsidRPr="316BCA20">
              <w:rPr>
                <w:rFonts w:ascii="Inter" w:eastAsia="Inter" w:hAnsi="Inter" w:cs="Inter"/>
                <w:sz w:val="19"/>
                <w:szCs w:val="19"/>
                <w:lang w:val="en-US"/>
              </w:rPr>
              <w:t xml:space="preserve">estimated </w:t>
            </w:r>
            <w:r w:rsidRPr="316BCA20">
              <w:rPr>
                <w:rFonts w:ascii="Inter" w:eastAsia="Inter" w:hAnsi="Inter" w:cs="Inter"/>
                <w:sz w:val="19"/>
                <w:szCs w:val="19"/>
                <w:lang w:val="en-US"/>
              </w:rPr>
              <w:t xml:space="preserve">resulting </w:t>
            </w:r>
            <w:proofErr w:type="gramStart"/>
            <w:r w:rsidRPr="316BCA20">
              <w:rPr>
                <w:rFonts w:ascii="Inter" w:eastAsia="Inter" w:hAnsi="Inter" w:cs="Inter"/>
                <w:sz w:val="19"/>
                <w:szCs w:val="19"/>
                <w:lang w:val="en-US"/>
              </w:rPr>
              <w:t>gas</w:t>
            </w:r>
            <w:proofErr w:type="gramEnd"/>
            <w:r w:rsidRPr="316BCA20">
              <w:rPr>
                <w:rFonts w:ascii="Inter" w:eastAsia="Inter" w:hAnsi="Inter" w:cs="Inter"/>
                <w:sz w:val="19"/>
                <w:szCs w:val="19"/>
                <w:lang w:val="en-US"/>
              </w:rPr>
              <w:t xml:space="preserve"> and electric bill impacts for participating customers.</w:t>
            </w:r>
          </w:p>
        </w:tc>
        <w:tc>
          <w:tcPr>
            <w:tcW w:w="85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EC7E78E"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2</w:t>
            </w:r>
          </w:p>
        </w:tc>
      </w:tr>
      <w:tr w:rsidR="003510A4" w:rsidRPr="008D2515" w14:paraId="1AE38FED" w14:textId="77777777">
        <w:tc>
          <w:tcPr>
            <w:tcW w:w="660" w:type="dxa"/>
            <w:tcBorders>
              <w:top w:val="single" w:sz="4" w:space="0" w:color="D9D9D9"/>
              <w:left w:val="single" w:sz="4" w:space="0" w:color="D9D9D9"/>
              <w:bottom w:val="single" w:sz="4" w:space="0" w:color="000000"/>
              <w:right w:val="single" w:sz="4" w:space="0" w:color="D9D9D9"/>
            </w:tcBorders>
            <w:tcMar>
              <w:top w:w="80" w:type="dxa"/>
              <w:left w:w="120" w:type="dxa"/>
              <w:bottom w:w="80" w:type="dxa"/>
              <w:right w:w="120" w:type="dxa"/>
            </w:tcMar>
          </w:tcPr>
          <w:p w14:paraId="73300903"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D1.7</w:t>
            </w:r>
          </w:p>
        </w:tc>
        <w:tc>
          <w:tcPr>
            <w:tcW w:w="1495" w:type="dxa"/>
            <w:tcBorders>
              <w:top w:val="single" w:sz="4" w:space="0" w:color="D9D9D9"/>
              <w:left w:val="single" w:sz="4" w:space="0" w:color="D9D9D9"/>
              <w:right w:val="single" w:sz="4" w:space="0" w:color="D9D9D9"/>
            </w:tcBorders>
            <w:tcMar>
              <w:top w:w="80" w:type="dxa"/>
              <w:left w:w="120" w:type="dxa"/>
              <w:bottom w:w="80" w:type="dxa"/>
              <w:right w:w="120" w:type="dxa"/>
            </w:tcMar>
          </w:tcPr>
          <w:p w14:paraId="14D6BF43" w14:textId="77777777" w:rsidR="003510A4" w:rsidRPr="008D2515" w:rsidRDefault="00FF18D5">
            <w:pPr>
              <w:rPr>
                <w:rFonts w:ascii="Inter" w:eastAsia="Inter" w:hAnsi="Inter" w:cs="Inter"/>
                <w:b/>
                <w:bCs/>
                <w:sz w:val="19"/>
                <w:szCs w:val="19"/>
              </w:rPr>
            </w:pPr>
            <w:proofErr w:type="gramStart"/>
            <w:r w:rsidRPr="008D2515">
              <w:rPr>
                <w:rFonts w:ascii="Inter" w:eastAsia="Inter" w:hAnsi="Inter" w:cs="Inter"/>
                <w:b/>
                <w:bCs/>
                <w:sz w:val="19"/>
                <w:szCs w:val="19"/>
              </w:rPr>
              <w:t>Participating</w:t>
            </w:r>
            <w:proofErr w:type="gramEnd"/>
            <w:r w:rsidRPr="008D2515">
              <w:rPr>
                <w:rFonts w:ascii="Inter" w:eastAsia="Inter" w:hAnsi="Inter" w:cs="Inter"/>
                <w:b/>
                <w:bCs/>
                <w:sz w:val="19"/>
                <w:szCs w:val="19"/>
              </w:rPr>
              <w:t xml:space="preserve"> Customer Benefits</w:t>
            </w:r>
          </w:p>
        </w:tc>
        <w:tc>
          <w:tcPr>
            <w:tcW w:w="7130" w:type="dxa"/>
            <w:tcBorders>
              <w:top w:val="single" w:sz="4" w:space="0" w:color="D9D9D9"/>
              <w:left w:val="single" w:sz="4" w:space="0" w:color="D9D9D9"/>
              <w:right w:val="single" w:sz="4" w:space="0" w:color="D9D9D9"/>
            </w:tcBorders>
            <w:tcMar>
              <w:top w:w="80" w:type="dxa"/>
              <w:left w:w="120" w:type="dxa"/>
              <w:bottom w:w="80" w:type="dxa"/>
              <w:right w:w="120" w:type="dxa"/>
            </w:tcMar>
          </w:tcPr>
          <w:p w14:paraId="0D743AE5" w14:textId="238A6B92" w:rsidR="003510A4" w:rsidRPr="008D2515" w:rsidRDefault="00FF18D5">
            <w:pPr>
              <w:rPr>
                <w:rFonts w:ascii="Inter" w:eastAsia="Inter" w:hAnsi="Inter" w:cs="Inter"/>
                <w:sz w:val="19"/>
                <w:szCs w:val="19"/>
                <w:lang w:val="en-US"/>
              </w:rPr>
            </w:pPr>
            <w:r w:rsidRPr="316BCA20">
              <w:rPr>
                <w:rFonts w:ascii="Inter" w:eastAsia="Inter" w:hAnsi="Inter" w:cs="Inter"/>
                <w:sz w:val="19"/>
                <w:szCs w:val="19"/>
                <w:lang w:val="en-US"/>
              </w:rPr>
              <w:t xml:space="preserve">Evaluates the projected non-cost impacts of the proposal on participating PSE customers (e.g., health </w:t>
            </w:r>
            <w:r w:rsidR="00F90801" w:rsidRPr="316BCA20">
              <w:rPr>
                <w:rFonts w:ascii="Inter" w:eastAsia="Inter" w:hAnsi="Inter" w:cs="Inter"/>
                <w:sz w:val="19"/>
                <w:szCs w:val="19"/>
                <w:lang w:val="en-US"/>
              </w:rPr>
              <w:t xml:space="preserve">benefits </w:t>
            </w:r>
            <w:r w:rsidRPr="316BCA20">
              <w:rPr>
                <w:rFonts w:ascii="Inter" w:eastAsia="Inter" w:hAnsi="Inter" w:cs="Inter"/>
                <w:sz w:val="19"/>
                <w:szCs w:val="19"/>
                <w:lang w:val="en-US"/>
              </w:rPr>
              <w:t>from cooling, energy resilience or reliability, etc.)</w:t>
            </w:r>
          </w:p>
        </w:tc>
        <w:tc>
          <w:tcPr>
            <w:tcW w:w="855" w:type="dxa"/>
            <w:tcBorders>
              <w:top w:val="single" w:sz="4" w:space="0" w:color="D9D9D9"/>
              <w:left w:val="single" w:sz="4" w:space="0" w:color="D9D9D9"/>
              <w:right w:val="single" w:sz="4" w:space="0" w:color="D9D9D9"/>
            </w:tcBorders>
            <w:tcMar>
              <w:top w:w="80" w:type="dxa"/>
              <w:left w:w="120" w:type="dxa"/>
              <w:bottom w:w="80" w:type="dxa"/>
              <w:right w:w="120" w:type="dxa"/>
            </w:tcMar>
          </w:tcPr>
          <w:p w14:paraId="3F041698" w14:textId="77777777" w:rsidR="003510A4" w:rsidRPr="008D2515" w:rsidRDefault="00FF18D5">
            <w:pPr>
              <w:rPr>
                <w:rFonts w:ascii="Inter" w:eastAsia="Inter" w:hAnsi="Inter" w:cs="Inter"/>
                <w:sz w:val="19"/>
                <w:szCs w:val="19"/>
              </w:rPr>
            </w:pPr>
            <w:r w:rsidRPr="008D2515">
              <w:rPr>
                <w:rFonts w:ascii="Inter" w:eastAsia="Inter" w:hAnsi="Inter" w:cs="Inter"/>
                <w:sz w:val="19"/>
                <w:szCs w:val="19"/>
              </w:rPr>
              <w:t>2</w:t>
            </w:r>
          </w:p>
        </w:tc>
      </w:tr>
    </w:tbl>
    <w:p w14:paraId="27152E3F" w14:textId="77777777" w:rsidR="003510A4" w:rsidRPr="008D2515" w:rsidRDefault="003510A4">
      <w:pPr>
        <w:rPr>
          <w:sz w:val="19"/>
          <w:szCs w:val="19"/>
        </w:rPr>
      </w:pPr>
    </w:p>
    <w:p w14:paraId="729BF4BC" w14:textId="77777777" w:rsidR="003510A4" w:rsidRDefault="003510A4"/>
    <w:p w14:paraId="6408C5EF" w14:textId="77777777" w:rsidR="003510A4" w:rsidRDefault="003510A4">
      <w:pPr>
        <w:rPr>
          <w:rFonts w:ascii="Inter" w:eastAsia="Inter" w:hAnsi="Inter" w:cs="Inter"/>
        </w:rPr>
      </w:pPr>
    </w:p>
    <w:tbl>
      <w:tblPr>
        <w:tblStyle w:val="a9"/>
        <w:tblW w:w="10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3510A4" w14:paraId="35666ECB" w14:textId="77777777">
        <w:tc>
          <w:tcPr>
            <w:tcW w:w="10185"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3F9E4268" w14:textId="210FECA2" w:rsidR="003510A4" w:rsidRDefault="00FF18D5">
            <w:pPr>
              <w:rPr>
                <w:rFonts w:ascii="Inter" w:eastAsia="Inter" w:hAnsi="Inter" w:cs="Inter"/>
              </w:rPr>
            </w:pPr>
            <w:r>
              <w:rPr>
                <w:rFonts w:ascii="Inter" w:eastAsia="Inter" w:hAnsi="Inter" w:cs="Inter"/>
                <w:b/>
                <w:bCs/>
                <w:color w:val="FFFFFF"/>
                <w:sz w:val="21"/>
                <w:szCs w:val="21"/>
              </w:rPr>
              <w:t>D2 — Supply-Side Technical Criteria</w:t>
            </w:r>
          </w:p>
        </w:tc>
      </w:tr>
      <w:tr w:rsidR="003510A4" w14:paraId="00D3682C" w14:textId="77777777">
        <w:tc>
          <w:tcPr>
            <w:tcW w:w="10185"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35B52183" w14:textId="332A5EE8" w:rsidR="003510A4" w:rsidRPr="00453101" w:rsidRDefault="00837537">
            <w:pPr>
              <w:rPr>
                <w:rFonts w:ascii="Inter" w:eastAsia="Inter" w:hAnsi="Inter" w:cs="Inter"/>
                <w:i/>
                <w:iCs/>
                <w:color w:val="595959"/>
                <w:sz w:val="19"/>
                <w:szCs w:val="19"/>
              </w:rPr>
            </w:pPr>
            <w:r>
              <w:rPr>
                <w:rFonts w:ascii="Inter" w:eastAsia="Inter" w:hAnsi="Inter" w:cs="Inter"/>
                <w:i/>
                <w:iCs/>
                <w:color w:val="595959"/>
                <w:sz w:val="19"/>
                <w:szCs w:val="19"/>
              </w:rPr>
              <w:t>D2 applies to p</w:t>
            </w:r>
            <w:r w:rsidR="00453101" w:rsidRPr="00453101">
              <w:rPr>
                <w:rFonts w:ascii="Inter" w:eastAsia="Inter" w:hAnsi="Inter" w:cs="Inter"/>
                <w:i/>
                <w:iCs/>
                <w:color w:val="595959"/>
                <w:sz w:val="19"/>
                <w:szCs w:val="19"/>
              </w:rPr>
              <w:t>rojects that reduce the carbon intensity of gas delivered within PSE's distribution system. Includes renewable natural gas (RNG) injection, renewable or low-carbon hydrogen blending, and methane leak detection and repair (LDAR) within PSE's system boundary. Projects upstream of PSE's system boundary are not eligible.</w:t>
            </w:r>
          </w:p>
        </w:tc>
      </w:tr>
    </w:tbl>
    <w:p w14:paraId="495021B2" w14:textId="77777777" w:rsidR="003510A4" w:rsidRDefault="003510A4">
      <w:pPr>
        <w:spacing w:before="40"/>
        <w:rPr>
          <w:rFonts w:ascii="Inter" w:eastAsia="Inter" w:hAnsi="Inter" w:cs="Inter"/>
        </w:rPr>
      </w:pPr>
    </w:p>
    <w:tbl>
      <w:tblPr>
        <w:tblStyle w:val="aa"/>
        <w:tblW w:w="10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1735"/>
        <w:gridCol w:w="6905"/>
        <w:gridCol w:w="1020"/>
      </w:tblGrid>
      <w:tr w:rsidR="003510A4" w14:paraId="6F7E387E" w14:textId="77777777">
        <w:tc>
          <w:tcPr>
            <w:tcW w:w="690"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22298EF8" w14:textId="77777777" w:rsidR="003510A4" w:rsidRDefault="00FF18D5">
            <w:pPr>
              <w:rPr>
                <w:rFonts w:ascii="Inter" w:eastAsia="Inter" w:hAnsi="Inter" w:cs="Inter"/>
              </w:rPr>
            </w:pPr>
            <w:r>
              <w:rPr>
                <w:rFonts w:ascii="Inter" w:eastAsia="Inter" w:hAnsi="Inter" w:cs="Inter"/>
                <w:b/>
                <w:bCs/>
                <w:color w:val="FFFFFF"/>
                <w:sz w:val="19"/>
                <w:szCs w:val="19"/>
              </w:rPr>
              <w:t>ID</w:t>
            </w:r>
          </w:p>
        </w:tc>
        <w:tc>
          <w:tcPr>
            <w:tcW w:w="1735"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2F5E9537" w14:textId="77777777" w:rsidR="003510A4" w:rsidRDefault="00FF18D5">
            <w:pPr>
              <w:rPr>
                <w:rFonts w:ascii="Inter" w:eastAsia="Inter" w:hAnsi="Inter" w:cs="Inter"/>
              </w:rPr>
            </w:pPr>
            <w:r>
              <w:rPr>
                <w:rFonts w:ascii="Inter" w:eastAsia="Inter" w:hAnsi="Inter" w:cs="Inter"/>
                <w:b/>
                <w:bCs/>
                <w:color w:val="FFFFFF"/>
                <w:sz w:val="19"/>
                <w:szCs w:val="19"/>
              </w:rPr>
              <w:t>Criterion</w:t>
            </w:r>
          </w:p>
        </w:tc>
        <w:tc>
          <w:tcPr>
            <w:tcW w:w="6905"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5A8F1FA4" w14:textId="77777777" w:rsidR="003510A4" w:rsidRDefault="00FF18D5">
            <w:pPr>
              <w:rPr>
                <w:rFonts w:ascii="Inter" w:eastAsia="Inter" w:hAnsi="Inter" w:cs="Inter"/>
              </w:rPr>
            </w:pPr>
            <w:r>
              <w:rPr>
                <w:rFonts w:ascii="Inter" w:eastAsia="Inter" w:hAnsi="Inter" w:cs="Inter"/>
                <w:b/>
                <w:bCs/>
                <w:color w:val="FFFFFF"/>
                <w:sz w:val="19"/>
                <w:szCs w:val="19"/>
              </w:rPr>
              <w:t>Description</w:t>
            </w:r>
          </w:p>
        </w:tc>
        <w:tc>
          <w:tcPr>
            <w:tcW w:w="1020" w:type="dxa"/>
            <w:tcBorders>
              <w:top w:val="single" w:sz="4" w:space="0" w:color="1F3864"/>
              <w:left w:val="single" w:sz="4" w:space="0" w:color="1F3864"/>
              <w:bottom w:val="single" w:sz="4" w:space="0" w:color="1F3864"/>
              <w:right w:val="single" w:sz="4" w:space="0" w:color="1F3864"/>
            </w:tcBorders>
            <w:shd w:val="clear" w:color="auto" w:fill="44215A"/>
            <w:tcMar>
              <w:top w:w="80" w:type="dxa"/>
              <w:left w:w="120" w:type="dxa"/>
              <w:bottom w:w="80" w:type="dxa"/>
              <w:right w:w="120" w:type="dxa"/>
            </w:tcMar>
          </w:tcPr>
          <w:p w14:paraId="3FBDCD6A" w14:textId="77777777" w:rsidR="003510A4" w:rsidRDefault="00FF18D5">
            <w:pPr>
              <w:rPr>
                <w:rFonts w:ascii="Inter" w:eastAsia="Inter" w:hAnsi="Inter" w:cs="Inter"/>
                <w:b/>
                <w:bCs/>
                <w:color w:val="FFFFFF"/>
                <w:sz w:val="19"/>
                <w:szCs w:val="19"/>
              </w:rPr>
            </w:pPr>
            <w:r>
              <w:rPr>
                <w:rFonts w:ascii="Inter" w:eastAsia="Inter" w:hAnsi="Inter" w:cs="Inter"/>
                <w:b/>
                <w:bCs/>
                <w:color w:val="FFFFFF"/>
                <w:sz w:val="19"/>
                <w:szCs w:val="19"/>
              </w:rPr>
              <w:t>Points</w:t>
            </w:r>
          </w:p>
        </w:tc>
      </w:tr>
      <w:tr w:rsidR="003510A4" w14:paraId="00A5AE79" w14:textId="77777777">
        <w:tc>
          <w:tcPr>
            <w:tcW w:w="69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84A2392"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D2.1</w:t>
            </w:r>
          </w:p>
        </w:tc>
        <w:tc>
          <w:tcPr>
            <w:tcW w:w="17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F438429"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Supply Source Verification &amp; Certification</w:t>
            </w:r>
          </w:p>
        </w:tc>
        <w:tc>
          <w:tcPr>
            <w:tcW w:w="690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C31F6DB" w14:textId="77777777" w:rsidR="003510A4" w:rsidRPr="008D2515" w:rsidRDefault="00FF18D5">
            <w:pPr>
              <w:rPr>
                <w:rFonts w:ascii="Inter" w:eastAsia="Inter" w:hAnsi="Inter" w:cs="Inter"/>
                <w:sz w:val="19"/>
                <w:szCs w:val="19"/>
                <w:lang w:val="en-US"/>
              </w:rPr>
            </w:pPr>
            <w:r w:rsidRPr="52A52F4F">
              <w:rPr>
                <w:rFonts w:ascii="Inter" w:eastAsia="Inter" w:hAnsi="Inter" w:cs="Inter"/>
                <w:sz w:val="19"/>
                <w:szCs w:val="19"/>
                <w:lang w:val="en-US"/>
              </w:rPr>
              <w:t xml:space="preserve">Rigor of feedstock or production pathway verification and ongoing certification approach. For RNG: documentation of feedstock origin (e.g., landfill gas, </w:t>
            </w:r>
            <w:proofErr w:type="gramStart"/>
            <w:r w:rsidRPr="52A52F4F">
              <w:rPr>
                <w:rFonts w:ascii="Inter" w:eastAsia="Inter" w:hAnsi="Inter" w:cs="Inter"/>
                <w:sz w:val="19"/>
                <w:szCs w:val="19"/>
                <w:lang w:val="en-US"/>
              </w:rPr>
              <w:t>agricultural waste,</w:t>
            </w:r>
            <w:proofErr w:type="gramEnd"/>
            <w:r w:rsidRPr="52A52F4F">
              <w:rPr>
                <w:rFonts w:ascii="Inter" w:eastAsia="Inter" w:hAnsi="Inter" w:cs="Inter"/>
                <w:sz w:val="19"/>
                <w:szCs w:val="19"/>
                <w:lang w:val="en-US"/>
              </w:rPr>
              <w:t xml:space="preserve"> wastewater); supply chain traceability; M-RETs registration, tracking, and retirement methodology; third-party certification approach. For renewable hydrogen: production pathway documentation, attestation of renewable energy sourcing, and applicable certification standard applied. Proposals should describe how supply </w:t>
            </w:r>
            <w:r w:rsidRPr="52A52F4F">
              <w:rPr>
                <w:rFonts w:ascii="Inter" w:eastAsia="Inter" w:hAnsi="Inter" w:cs="Inter"/>
                <w:sz w:val="19"/>
                <w:szCs w:val="19"/>
                <w:lang w:val="en-US"/>
              </w:rPr>
              <w:lastRenderedPageBreak/>
              <w:t>claims will be verified on an ongoing basis and how retired attributes will be reported to PSE.</w:t>
            </w:r>
          </w:p>
        </w:tc>
        <w:tc>
          <w:tcPr>
            <w:tcW w:w="102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33D800DB"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lastRenderedPageBreak/>
              <w:t>5</w:t>
            </w:r>
          </w:p>
        </w:tc>
      </w:tr>
      <w:tr w:rsidR="003510A4" w14:paraId="74AAF4C2" w14:textId="77777777">
        <w:tc>
          <w:tcPr>
            <w:tcW w:w="69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6F23146C"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D2.2</w:t>
            </w:r>
          </w:p>
        </w:tc>
        <w:tc>
          <w:tcPr>
            <w:tcW w:w="17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2FD3637B" w14:textId="77777777" w:rsidR="003510A4" w:rsidRPr="008D2515" w:rsidRDefault="00FF18D5">
            <w:pPr>
              <w:rPr>
                <w:rFonts w:ascii="Inter" w:eastAsia="Inter" w:hAnsi="Inter" w:cs="Inter"/>
                <w:sz w:val="19"/>
                <w:szCs w:val="19"/>
              </w:rPr>
            </w:pPr>
            <w:r w:rsidRPr="008D2515">
              <w:rPr>
                <w:rFonts w:ascii="Inter" w:eastAsia="Inter" w:hAnsi="Inter" w:cs="Inter"/>
                <w:b/>
                <w:bCs/>
                <w:sz w:val="19"/>
                <w:szCs w:val="19"/>
              </w:rPr>
              <w:t>Technology Readiness &amp; Implementation Credibility</w:t>
            </w:r>
          </w:p>
        </w:tc>
        <w:tc>
          <w:tcPr>
            <w:tcW w:w="690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B9C2871" w14:textId="6EE7A116" w:rsidR="003510A4" w:rsidRPr="008D2515" w:rsidRDefault="00FF18D5">
            <w:pPr>
              <w:rPr>
                <w:rFonts w:ascii="Inter" w:eastAsia="Inter" w:hAnsi="Inter" w:cs="Inter"/>
                <w:sz w:val="19"/>
                <w:szCs w:val="19"/>
                <w:lang w:val="en-US"/>
              </w:rPr>
            </w:pPr>
            <w:r w:rsidRPr="52A52F4F">
              <w:rPr>
                <w:rFonts w:ascii="Inter" w:eastAsia="Inter" w:hAnsi="Inter" w:cs="Inter"/>
                <w:sz w:val="19"/>
                <w:szCs w:val="19"/>
                <w:lang w:val="en-US"/>
              </w:rPr>
              <w:t>Assessment of the maturity of the proposed technology and the credibility of the delivery timeline. Assess</w:t>
            </w:r>
            <w:r w:rsidR="00CC664C" w:rsidRPr="52A52F4F">
              <w:rPr>
                <w:rFonts w:ascii="Inter" w:eastAsia="Inter" w:hAnsi="Inter" w:cs="Inter"/>
                <w:sz w:val="19"/>
                <w:szCs w:val="19"/>
                <w:lang w:val="en-US"/>
              </w:rPr>
              <w:t>es</w:t>
            </w:r>
            <w:r w:rsidRPr="52A52F4F">
              <w:rPr>
                <w:rFonts w:ascii="Inter" w:eastAsia="Inter" w:hAnsi="Inter" w:cs="Inter"/>
                <w:sz w:val="19"/>
                <w:szCs w:val="19"/>
                <w:lang w:val="en-US"/>
              </w:rPr>
              <w:t xml:space="preserve">: (a) technology readiness level (TRL) and the basis for that assessment; (b) evidence of analogous deployments at comparable scale in comparable operating environments; (c) current project development status (e.g., site control, permitting stage, interconnection agreements, offtake arrangements); and (d) the credibility of the timeline to deliver volumes or verified reductions within the program period. Projects at early development stages must demonstrate a clear and realistic path to </w:t>
            </w:r>
            <w:r w:rsidR="008D20D8">
              <w:rPr>
                <w:rFonts w:ascii="Inter" w:eastAsia="Inter" w:hAnsi="Inter" w:cs="Inter"/>
                <w:sz w:val="19"/>
                <w:szCs w:val="19"/>
                <w:lang w:val="en-US"/>
              </w:rPr>
              <w:t xml:space="preserve">operation </w:t>
            </w:r>
            <w:r w:rsidRPr="52A52F4F">
              <w:rPr>
                <w:rFonts w:ascii="Inter" w:eastAsia="Inter" w:hAnsi="Inter" w:cs="Inter"/>
                <w:sz w:val="19"/>
                <w:szCs w:val="19"/>
                <w:lang w:val="en-US"/>
              </w:rPr>
              <w:t>within the program timeframe.</w:t>
            </w:r>
          </w:p>
        </w:tc>
        <w:tc>
          <w:tcPr>
            <w:tcW w:w="102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0C87130" w14:textId="77777777" w:rsidR="003510A4" w:rsidRPr="008D2515" w:rsidRDefault="00FF18D5">
            <w:pPr>
              <w:rPr>
                <w:rFonts w:ascii="Inter" w:eastAsia="Inter" w:hAnsi="Inter" w:cs="Inter"/>
                <w:color w:val="000000"/>
                <w:sz w:val="19"/>
                <w:szCs w:val="19"/>
              </w:rPr>
            </w:pPr>
            <w:r w:rsidRPr="008D2515">
              <w:rPr>
                <w:rFonts w:ascii="Inter" w:eastAsia="Inter" w:hAnsi="Inter" w:cs="Inter"/>
                <w:sz w:val="19"/>
                <w:szCs w:val="19"/>
              </w:rPr>
              <w:t>5</w:t>
            </w:r>
          </w:p>
        </w:tc>
      </w:tr>
      <w:tr w:rsidR="003510A4" w14:paraId="7F7FB114" w14:textId="77777777">
        <w:tc>
          <w:tcPr>
            <w:tcW w:w="69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5D7CAAC4" w14:textId="77777777" w:rsidR="003510A4" w:rsidRDefault="00FF18D5">
            <w:pPr>
              <w:rPr>
                <w:rFonts w:ascii="Inter" w:eastAsia="Inter" w:hAnsi="Inter" w:cs="Inter"/>
              </w:rPr>
            </w:pPr>
            <w:r>
              <w:rPr>
                <w:rFonts w:ascii="Inter" w:eastAsia="Inter" w:hAnsi="Inter" w:cs="Inter"/>
                <w:b/>
                <w:bCs/>
                <w:sz w:val="19"/>
                <w:szCs w:val="19"/>
              </w:rPr>
              <w:t>D2.3</w:t>
            </w:r>
          </w:p>
        </w:tc>
        <w:tc>
          <w:tcPr>
            <w:tcW w:w="173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12AFF773" w14:textId="77777777" w:rsidR="003510A4" w:rsidRDefault="00FF18D5">
            <w:pPr>
              <w:rPr>
                <w:rFonts w:ascii="Inter" w:eastAsia="Inter" w:hAnsi="Inter" w:cs="Inter"/>
              </w:rPr>
            </w:pPr>
            <w:r>
              <w:rPr>
                <w:rFonts w:ascii="Inter" w:eastAsia="Inter" w:hAnsi="Inter" w:cs="Inter"/>
                <w:b/>
                <w:bCs/>
                <w:color w:val="000000"/>
                <w:sz w:val="19"/>
                <w:szCs w:val="19"/>
              </w:rPr>
              <w:t>System Integration &amp; Compatibility</w:t>
            </w:r>
          </w:p>
        </w:tc>
        <w:tc>
          <w:tcPr>
            <w:tcW w:w="6905"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03B4ACE1" w14:textId="77777777" w:rsidR="003510A4" w:rsidRDefault="00FF18D5">
            <w:pPr>
              <w:rPr>
                <w:rFonts w:ascii="Inter" w:eastAsia="Inter" w:hAnsi="Inter" w:cs="Inter"/>
                <w:color w:val="000000"/>
                <w:sz w:val="19"/>
                <w:szCs w:val="19"/>
                <w:lang w:val="en-US"/>
              </w:rPr>
            </w:pPr>
            <w:r w:rsidRPr="52A52F4F">
              <w:rPr>
                <w:rFonts w:ascii="Inter" w:eastAsia="Inter" w:hAnsi="Inter" w:cs="Inter"/>
                <w:color w:val="000000" w:themeColor="text1"/>
                <w:sz w:val="19"/>
                <w:szCs w:val="19"/>
                <w:lang w:val="en-US"/>
              </w:rPr>
              <w:t>Technical compatibility with PSE's gas delivery system; operational integration requirements; safety and regulatory compliance for gas system modifications (e.g., PHMSA, FERC). Where applicable, includes a mechanism to match the fuel heat content to the current system.</w:t>
            </w:r>
          </w:p>
        </w:tc>
        <w:tc>
          <w:tcPr>
            <w:tcW w:w="102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tcPr>
          <w:p w14:paraId="4558ECC2" w14:textId="77777777" w:rsidR="003510A4" w:rsidRDefault="00FF18D5">
            <w:pPr>
              <w:rPr>
                <w:rFonts w:ascii="Inter" w:eastAsia="Inter" w:hAnsi="Inter" w:cs="Inter"/>
                <w:color w:val="000000"/>
                <w:sz w:val="19"/>
                <w:szCs w:val="19"/>
              </w:rPr>
            </w:pPr>
            <w:r>
              <w:rPr>
                <w:rFonts w:ascii="Inter" w:eastAsia="Inter" w:hAnsi="Inter" w:cs="Inter"/>
                <w:sz w:val="19"/>
                <w:szCs w:val="19"/>
              </w:rPr>
              <w:t>5</w:t>
            </w:r>
          </w:p>
        </w:tc>
      </w:tr>
    </w:tbl>
    <w:p w14:paraId="60B94DF7" w14:textId="77777777" w:rsidR="003510A4" w:rsidRDefault="003510A4">
      <w:pPr>
        <w:spacing w:after="80"/>
        <w:rPr>
          <w:rFonts w:ascii="Inter" w:eastAsia="Inter" w:hAnsi="Inter" w:cs="Inter"/>
          <w:sz w:val="20"/>
          <w:szCs w:val="20"/>
        </w:rPr>
      </w:pPr>
    </w:p>
    <w:p w14:paraId="3FF0E6C1" w14:textId="77777777" w:rsidR="003510A4" w:rsidRDefault="003510A4">
      <w:pPr>
        <w:rPr>
          <w:rFonts w:ascii="Inter" w:eastAsia="Inter" w:hAnsi="Inter" w:cs="Inter"/>
        </w:rPr>
      </w:pPr>
    </w:p>
    <w:tbl>
      <w:tblPr>
        <w:tblStyle w:val="ab"/>
        <w:tblW w:w="101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5"/>
      </w:tblGrid>
      <w:tr w:rsidR="003510A4" w14:paraId="54AE27E4" w14:textId="77777777">
        <w:tc>
          <w:tcPr>
            <w:tcW w:w="10185" w:type="dxa"/>
            <w:tcBorders>
              <w:top w:val="single" w:sz="4" w:space="0" w:color="4A235A"/>
              <w:left w:val="single" w:sz="4" w:space="0" w:color="4A235A"/>
              <w:bottom w:val="single" w:sz="4" w:space="0" w:color="4A235A"/>
              <w:right w:val="single" w:sz="4" w:space="0" w:color="4A235A"/>
            </w:tcBorders>
            <w:shd w:val="clear" w:color="auto" w:fill="4A235A"/>
            <w:tcMar>
              <w:top w:w="80" w:type="dxa"/>
              <w:left w:w="120" w:type="dxa"/>
              <w:bottom w:w="80" w:type="dxa"/>
              <w:right w:w="120" w:type="dxa"/>
            </w:tcMar>
          </w:tcPr>
          <w:p w14:paraId="17D154C7" w14:textId="7E3B4692" w:rsidR="003510A4" w:rsidRDefault="00FF18D5">
            <w:pPr>
              <w:rPr>
                <w:rFonts w:ascii="Inter" w:eastAsia="Inter" w:hAnsi="Inter" w:cs="Inter"/>
              </w:rPr>
            </w:pPr>
            <w:r w:rsidRPr="59CCADA4">
              <w:rPr>
                <w:rFonts w:ascii="Inter" w:eastAsia="Inter" w:hAnsi="Inter" w:cs="Inter"/>
                <w:b/>
                <w:color w:val="FFFFFF" w:themeColor="background1"/>
                <w:sz w:val="21"/>
                <w:szCs w:val="21"/>
              </w:rPr>
              <w:t>D3 — Carbon Capture Utilization &amp; Storage (CCUS)</w:t>
            </w:r>
          </w:p>
        </w:tc>
      </w:tr>
      <w:tr w:rsidR="003510A4" w14:paraId="1D3DF199" w14:textId="77777777">
        <w:tc>
          <w:tcPr>
            <w:tcW w:w="10185" w:type="dxa"/>
            <w:tcBorders>
              <w:top w:val="single" w:sz="4" w:space="0" w:color="D9D9D9"/>
              <w:left w:val="single" w:sz="4" w:space="0" w:color="D9D9D9"/>
              <w:bottom w:val="single" w:sz="4" w:space="0" w:color="D9D9D9"/>
              <w:right w:val="single" w:sz="4" w:space="0" w:color="D9D9D9"/>
            </w:tcBorders>
            <w:shd w:val="clear" w:color="auto" w:fill="F4F4F4"/>
            <w:tcMar>
              <w:top w:w="80" w:type="dxa"/>
              <w:left w:w="120" w:type="dxa"/>
              <w:bottom w:w="80" w:type="dxa"/>
              <w:right w:w="120" w:type="dxa"/>
            </w:tcMar>
          </w:tcPr>
          <w:p w14:paraId="383D2840" w14:textId="38A921AA" w:rsidR="003510A4" w:rsidRPr="00453101" w:rsidRDefault="00FF18D5">
            <w:pPr>
              <w:rPr>
                <w:sz w:val="19"/>
                <w:szCs w:val="19"/>
                <w:lang w:val="en-US"/>
              </w:rPr>
            </w:pPr>
            <w:r w:rsidRPr="316BCA20">
              <w:rPr>
                <w:rFonts w:ascii="Inter" w:eastAsia="Inter" w:hAnsi="Inter" w:cs="Inter"/>
                <w:i/>
                <w:color w:val="595959" w:themeColor="text1" w:themeTint="A6"/>
                <w:sz w:val="19"/>
                <w:szCs w:val="19"/>
                <w:lang w:val="en-US"/>
              </w:rPr>
              <w:t xml:space="preserve">D3 applies to projects whose primary mechanism of GHG reduction is the capture of greenhouse gases at the point of emission from natural gas combustion or gas delivery operations, followed by permanent geological storage or demonstrated long-term utilization. Projects upstream of PSE's system boundary are not eligible. </w:t>
            </w:r>
          </w:p>
        </w:tc>
      </w:tr>
    </w:tbl>
    <w:p w14:paraId="6C6A45F5" w14:textId="77777777" w:rsidR="003510A4" w:rsidRDefault="003510A4">
      <w:pPr>
        <w:spacing w:before="160"/>
        <w:rPr>
          <w:sz w:val="20"/>
          <w:szCs w:val="20"/>
        </w:rPr>
      </w:pPr>
    </w:p>
    <w:tbl>
      <w:tblPr>
        <w:tblStyle w:val="ac"/>
        <w:tblW w:w="100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1705"/>
        <w:gridCol w:w="6680"/>
        <w:gridCol w:w="795"/>
      </w:tblGrid>
      <w:tr w:rsidR="003510A4" w14:paraId="0D674C41" w14:textId="77777777">
        <w:trPr>
          <w:tblHeader/>
        </w:trPr>
        <w:tc>
          <w:tcPr>
            <w:tcW w:w="900" w:type="dxa"/>
            <w:tcBorders>
              <w:top w:val="single" w:sz="4" w:space="0" w:color="CCCCCC"/>
              <w:left w:val="single" w:sz="4" w:space="0" w:color="CCCCCC"/>
              <w:bottom w:val="single" w:sz="4" w:space="0" w:color="CCCCCC"/>
              <w:right w:val="single" w:sz="4" w:space="0" w:color="CCCCCC"/>
            </w:tcBorders>
            <w:shd w:val="clear" w:color="auto" w:fill="4A235A"/>
            <w:tcMar>
              <w:top w:w="80" w:type="dxa"/>
              <w:left w:w="120" w:type="dxa"/>
              <w:bottom w:w="80" w:type="dxa"/>
              <w:right w:w="120" w:type="dxa"/>
            </w:tcMar>
            <w:vAlign w:val="center"/>
          </w:tcPr>
          <w:p w14:paraId="440ABDDE" w14:textId="77777777" w:rsidR="003510A4" w:rsidRDefault="00FF18D5">
            <w:pPr>
              <w:rPr>
                <w:sz w:val="20"/>
                <w:szCs w:val="20"/>
              </w:rPr>
            </w:pPr>
            <w:r>
              <w:rPr>
                <w:b/>
                <w:bCs/>
                <w:color w:val="FFFFFF"/>
                <w:sz w:val="18"/>
                <w:szCs w:val="18"/>
              </w:rPr>
              <w:t>ID</w:t>
            </w:r>
          </w:p>
        </w:tc>
        <w:tc>
          <w:tcPr>
            <w:tcW w:w="1705" w:type="dxa"/>
            <w:tcBorders>
              <w:top w:val="single" w:sz="4" w:space="0" w:color="CCCCCC"/>
              <w:left w:val="single" w:sz="4" w:space="0" w:color="CCCCCC"/>
              <w:bottom w:val="single" w:sz="4" w:space="0" w:color="CCCCCC"/>
              <w:right w:val="single" w:sz="4" w:space="0" w:color="CCCCCC"/>
            </w:tcBorders>
            <w:shd w:val="clear" w:color="auto" w:fill="4A235A"/>
            <w:tcMar>
              <w:top w:w="80" w:type="dxa"/>
              <w:left w:w="120" w:type="dxa"/>
              <w:bottom w:w="80" w:type="dxa"/>
              <w:right w:w="120" w:type="dxa"/>
            </w:tcMar>
            <w:vAlign w:val="center"/>
          </w:tcPr>
          <w:p w14:paraId="6B22BCD8" w14:textId="77777777" w:rsidR="003510A4" w:rsidRDefault="00FF18D5">
            <w:pPr>
              <w:rPr>
                <w:sz w:val="20"/>
                <w:szCs w:val="20"/>
              </w:rPr>
            </w:pPr>
            <w:r>
              <w:rPr>
                <w:b/>
                <w:bCs/>
                <w:color w:val="FFFFFF"/>
                <w:sz w:val="18"/>
                <w:szCs w:val="18"/>
              </w:rPr>
              <w:t>Criterion</w:t>
            </w:r>
          </w:p>
        </w:tc>
        <w:tc>
          <w:tcPr>
            <w:tcW w:w="6680" w:type="dxa"/>
            <w:tcBorders>
              <w:top w:val="single" w:sz="4" w:space="0" w:color="CCCCCC"/>
              <w:left w:val="single" w:sz="4" w:space="0" w:color="CCCCCC"/>
              <w:bottom w:val="single" w:sz="4" w:space="0" w:color="CCCCCC"/>
              <w:right w:val="single" w:sz="4" w:space="0" w:color="CCCCCC"/>
            </w:tcBorders>
            <w:shd w:val="clear" w:color="auto" w:fill="4A235A"/>
            <w:tcMar>
              <w:top w:w="80" w:type="dxa"/>
              <w:left w:w="120" w:type="dxa"/>
              <w:bottom w:w="80" w:type="dxa"/>
              <w:right w:w="120" w:type="dxa"/>
            </w:tcMar>
            <w:vAlign w:val="center"/>
          </w:tcPr>
          <w:p w14:paraId="2EB3AA73" w14:textId="77777777" w:rsidR="003510A4" w:rsidRDefault="00FF18D5">
            <w:pPr>
              <w:rPr>
                <w:sz w:val="20"/>
                <w:szCs w:val="20"/>
              </w:rPr>
            </w:pPr>
            <w:r>
              <w:rPr>
                <w:b/>
                <w:bCs/>
                <w:color w:val="FFFFFF"/>
                <w:sz w:val="18"/>
                <w:szCs w:val="18"/>
              </w:rPr>
              <w:t>Description</w:t>
            </w:r>
          </w:p>
        </w:tc>
        <w:tc>
          <w:tcPr>
            <w:tcW w:w="795" w:type="dxa"/>
            <w:tcBorders>
              <w:top w:val="single" w:sz="4" w:space="0" w:color="CCCCCC"/>
              <w:left w:val="single" w:sz="4" w:space="0" w:color="CCCCCC"/>
              <w:bottom w:val="single" w:sz="4" w:space="0" w:color="CCCCCC"/>
              <w:right w:val="single" w:sz="4" w:space="0" w:color="CCCCCC"/>
            </w:tcBorders>
            <w:shd w:val="clear" w:color="auto" w:fill="4A235A"/>
            <w:tcMar>
              <w:top w:w="80" w:type="dxa"/>
              <w:left w:w="120" w:type="dxa"/>
              <w:bottom w:w="80" w:type="dxa"/>
              <w:right w:w="120" w:type="dxa"/>
            </w:tcMar>
            <w:vAlign w:val="center"/>
          </w:tcPr>
          <w:p w14:paraId="3D9EBA8B" w14:textId="77777777" w:rsidR="003510A4" w:rsidRDefault="00FF18D5">
            <w:pPr>
              <w:rPr>
                <w:sz w:val="20"/>
                <w:szCs w:val="20"/>
              </w:rPr>
            </w:pPr>
            <w:r>
              <w:rPr>
                <w:b/>
                <w:bCs/>
                <w:color w:val="FFFFFF"/>
                <w:sz w:val="18"/>
                <w:szCs w:val="18"/>
              </w:rPr>
              <w:t>Points</w:t>
            </w:r>
          </w:p>
        </w:tc>
      </w:tr>
      <w:tr w:rsidR="003510A4" w14:paraId="21293AC0" w14:textId="77777777">
        <w:tc>
          <w:tcPr>
            <w:tcW w:w="90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EE5005A"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D3.1</w:t>
            </w:r>
          </w:p>
        </w:tc>
        <w:tc>
          <w:tcPr>
            <w:tcW w:w="170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424B5303" w14:textId="77777777" w:rsidR="003510A4" w:rsidRPr="008D2515" w:rsidRDefault="00FF18D5">
            <w:pPr>
              <w:rPr>
                <w:sz w:val="19"/>
                <w:szCs w:val="19"/>
              </w:rPr>
            </w:pPr>
            <w:r w:rsidRPr="008D2515">
              <w:rPr>
                <w:rFonts w:ascii="Inter" w:eastAsia="Inter" w:hAnsi="Inter" w:cs="Inter"/>
                <w:b/>
                <w:bCs/>
                <w:color w:val="000000"/>
                <w:sz w:val="19"/>
                <w:szCs w:val="19"/>
              </w:rPr>
              <w:t>Capture Technology Specification &amp; Equipment Selection</w:t>
            </w:r>
          </w:p>
        </w:tc>
        <w:tc>
          <w:tcPr>
            <w:tcW w:w="6680"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5EBC7D85" w14:textId="4B7D5637" w:rsidR="003510A4" w:rsidRPr="008D2515" w:rsidRDefault="00FF18D5">
            <w:pPr>
              <w:rPr>
                <w:rFonts w:ascii="Inter" w:eastAsia="Inter" w:hAnsi="Inter" w:cs="Inter"/>
                <w:color w:val="000000"/>
                <w:sz w:val="19"/>
                <w:szCs w:val="19"/>
                <w:lang w:val="en-US"/>
              </w:rPr>
            </w:pPr>
            <w:r w:rsidRPr="316BCA20">
              <w:rPr>
                <w:rFonts w:ascii="Inter" w:eastAsia="Inter" w:hAnsi="Inter" w:cs="Inter"/>
                <w:color w:val="000000" w:themeColor="text1"/>
                <w:sz w:val="19"/>
                <w:szCs w:val="19"/>
                <w:lang w:val="en-US"/>
              </w:rPr>
              <w:t>Specificity and rigor of the proposed capture technology and equipment design. Assess</w:t>
            </w:r>
            <w:r w:rsidR="00A25860" w:rsidRPr="316BCA20">
              <w:rPr>
                <w:rFonts w:ascii="Inter" w:eastAsia="Inter" w:hAnsi="Inter" w:cs="Inter"/>
                <w:color w:val="000000" w:themeColor="text1"/>
                <w:sz w:val="19"/>
                <w:szCs w:val="19"/>
                <w:lang w:val="en-US"/>
              </w:rPr>
              <w:t>es</w:t>
            </w:r>
            <w:r w:rsidRPr="316BCA20">
              <w:rPr>
                <w:rFonts w:ascii="Inter" w:eastAsia="Inter" w:hAnsi="Inter" w:cs="Inter"/>
                <w:color w:val="000000" w:themeColor="text1"/>
                <w:sz w:val="19"/>
                <w:szCs w:val="19"/>
                <w:lang w:val="en-US"/>
              </w:rPr>
              <w:t xml:space="preserve">: (a) the capture technology type (e.g., post-combustion amine scrubbing, pressure-swing adsorption, membrane separation, oxyfuel combustion) and the basis for selecting it over alternatives; (b) rated CO₂ capture efficiency (%) and expected operating efficiency under real-world conditions; (c) CO₂ purity specifications of the captured stream and compatibility with downstream transport and storage requirements; and (d) the parasitic energy load of capture operations and the source of that energy. Equipment specifications should be sufficiently detailed to assess </w:t>
            </w:r>
            <w:r w:rsidR="008D20D8" w:rsidRPr="316BCA20">
              <w:rPr>
                <w:rFonts w:ascii="Inter" w:eastAsia="Inter" w:hAnsi="Inter" w:cs="Inter"/>
                <w:color w:val="000000" w:themeColor="text1"/>
                <w:sz w:val="19"/>
                <w:szCs w:val="19"/>
                <w:lang w:val="en-US"/>
              </w:rPr>
              <w:t xml:space="preserve">technical </w:t>
            </w:r>
            <w:r w:rsidRPr="316BCA20">
              <w:rPr>
                <w:rFonts w:ascii="Inter" w:eastAsia="Inter" w:hAnsi="Inter" w:cs="Inter"/>
                <w:color w:val="000000" w:themeColor="text1"/>
                <w:sz w:val="19"/>
                <w:szCs w:val="19"/>
                <w:lang w:val="en-US"/>
              </w:rPr>
              <w:t>readiness and integration feasibility.</w:t>
            </w:r>
          </w:p>
        </w:tc>
        <w:tc>
          <w:tcPr>
            <w:tcW w:w="795" w:type="dxa"/>
            <w:tcBorders>
              <w:top w:val="single" w:sz="4" w:space="0" w:color="CCCCCC"/>
              <w:left w:val="single" w:sz="4" w:space="0" w:color="CCCCCC"/>
              <w:bottom w:val="single" w:sz="4" w:space="0" w:color="CCCCCC"/>
              <w:right w:val="single" w:sz="4" w:space="0" w:color="CCCCCC"/>
            </w:tcBorders>
            <w:shd w:val="clear" w:color="auto" w:fill="FFFFFF"/>
            <w:tcMar>
              <w:top w:w="80" w:type="dxa"/>
              <w:left w:w="120" w:type="dxa"/>
              <w:bottom w:w="80" w:type="dxa"/>
              <w:right w:w="120" w:type="dxa"/>
            </w:tcMar>
          </w:tcPr>
          <w:p w14:paraId="00283295" w14:textId="77777777" w:rsidR="003510A4" w:rsidRPr="008D2515" w:rsidRDefault="00FF18D5">
            <w:pPr>
              <w:jc w:val="center"/>
              <w:rPr>
                <w:sz w:val="19"/>
                <w:szCs w:val="19"/>
              </w:rPr>
            </w:pPr>
            <w:r w:rsidRPr="008D2515">
              <w:rPr>
                <w:sz w:val="19"/>
                <w:szCs w:val="19"/>
              </w:rPr>
              <w:t>3</w:t>
            </w:r>
          </w:p>
        </w:tc>
      </w:tr>
      <w:tr w:rsidR="003510A4" w14:paraId="5D3EBF04" w14:textId="77777777">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5BF8934"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D3.2</w:t>
            </w:r>
          </w:p>
        </w:tc>
        <w:tc>
          <w:tcPr>
            <w:tcW w:w="17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5FFF739E" w14:textId="77777777" w:rsidR="003510A4" w:rsidRPr="008D2515" w:rsidRDefault="00FF18D5">
            <w:pPr>
              <w:rPr>
                <w:rFonts w:ascii="Inter" w:eastAsia="Inter" w:hAnsi="Inter" w:cs="Inter"/>
                <w:b/>
                <w:bCs/>
                <w:color w:val="000000"/>
                <w:sz w:val="19"/>
                <w:szCs w:val="19"/>
              </w:rPr>
            </w:pPr>
            <w:r w:rsidRPr="008D2515">
              <w:rPr>
                <w:rFonts w:ascii="Inter" w:eastAsia="Inter" w:hAnsi="Inter" w:cs="Inter"/>
                <w:b/>
                <w:bCs/>
                <w:color w:val="000000"/>
                <w:sz w:val="19"/>
                <w:szCs w:val="19"/>
              </w:rPr>
              <w:t>Sequestration or Utilization Pathway</w:t>
            </w:r>
          </w:p>
        </w:tc>
        <w:tc>
          <w:tcPr>
            <w:tcW w:w="66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66036B88" w14:textId="77777777" w:rsidR="003510A4" w:rsidRPr="008D2515" w:rsidRDefault="00FF18D5">
            <w:pPr>
              <w:rPr>
                <w:rFonts w:ascii="Inter" w:eastAsia="Inter" w:hAnsi="Inter" w:cs="Inter"/>
                <w:color w:val="000000"/>
                <w:sz w:val="19"/>
                <w:szCs w:val="19"/>
                <w:lang w:val="en-US"/>
              </w:rPr>
            </w:pPr>
            <w:r w:rsidRPr="316BCA20">
              <w:rPr>
                <w:rFonts w:ascii="Inter" w:eastAsia="Inter" w:hAnsi="Inter" w:cs="Inter"/>
                <w:color w:val="000000" w:themeColor="text1"/>
                <w:sz w:val="19"/>
                <w:szCs w:val="19"/>
                <w:lang w:val="en-US"/>
              </w:rPr>
              <w:t>Rigor and credibility of the proposed pathway for permanently managing captured CO₂. For geological storage: (a) storage formation characterization (type, depth, injectivity, estimated capacity, and proximity to source); (b) ownership or rights to pore space; (c) injection well design and regulatory classification (EPA Class VI or equivalent); and (d) the proposed storage operator and their relevant experience. For utilization: (a) the specific utilization product or process; (b) evidence that the utilization pathway constitutes long-term or permanent carbon storage rather than short-cycle re-emission; and (c) third-party validation of the storage claim. Proposals relying on utilization pathways that re-emit CO₂ within the program period will be evaluated critically.</w:t>
            </w:r>
          </w:p>
        </w:tc>
        <w:tc>
          <w:tcPr>
            <w:tcW w:w="7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C413944" w14:textId="77777777" w:rsidR="003510A4" w:rsidRPr="008D2515" w:rsidRDefault="00FF18D5">
            <w:pPr>
              <w:jc w:val="center"/>
              <w:rPr>
                <w:sz w:val="19"/>
                <w:szCs w:val="19"/>
              </w:rPr>
            </w:pPr>
            <w:r w:rsidRPr="008D2515">
              <w:rPr>
                <w:sz w:val="19"/>
                <w:szCs w:val="19"/>
              </w:rPr>
              <w:t>5</w:t>
            </w:r>
          </w:p>
        </w:tc>
      </w:tr>
      <w:tr w:rsidR="003510A4" w14:paraId="45CE684A" w14:textId="77777777">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B32EA13" w14:textId="77777777" w:rsidR="003510A4" w:rsidRPr="008D2515" w:rsidRDefault="00FF18D5">
            <w:pPr>
              <w:rPr>
                <w:rFonts w:ascii="Inter" w:eastAsia="Inter" w:hAnsi="Inter" w:cs="Inter"/>
                <w:b/>
                <w:bCs/>
                <w:sz w:val="19"/>
                <w:szCs w:val="19"/>
              </w:rPr>
            </w:pPr>
            <w:r w:rsidRPr="008D2515">
              <w:rPr>
                <w:rFonts w:ascii="Inter" w:eastAsia="Inter" w:hAnsi="Inter" w:cs="Inter"/>
                <w:b/>
                <w:bCs/>
                <w:sz w:val="19"/>
                <w:szCs w:val="19"/>
              </w:rPr>
              <w:t>D3.3</w:t>
            </w:r>
          </w:p>
        </w:tc>
        <w:tc>
          <w:tcPr>
            <w:tcW w:w="17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B4AAAC6" w14:textId="77777777" w:rsidR="003510A4" w:rsidRPr="008D2515" w:rsidRDefault="00FF18D5">
            <w:pPr>
              <w:rPr>
                <w:rFonts w:ascii="Inter" w:eastAsia="Inter" w:hAnsi="Inter" w:cs="Inter"/>
                <w:b/>
                <w:bCs/>
                <w:color w:val="000000"/>
                <w:sz w:val="19"/>
                <w:szCs w:val="19"/>
              </w:rPr>
            </w:pPr>
            <w:r w:rsidRPr="008D2515">
              <w:rPr>
                <w:rFonts w:ascii="Inter" w:eastAsia="Inter" w:hAnsi="Inter" w:cs="Inter"/>
                <w:b/>
                <w:bCs/>
                <w:color w:val="000000"/>
                <w:sz w:val="19"/>
                <w:szCs w:val="19"/>
              </w:rPr>
              <w:t>Technology Readiness &amp; Implementation Credibility</w:t>
            </w:r>
          </w:p>
        </w:tc>
        <w:tc>
          <w:tcPr>
            <w:tcW w:w="66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7A865FE4" w14:textId="5343DF7C" w:rsidR="003510A4" w:rsidRPr="008D2515" w:rsidRDefault="00FF18D5">
            <w:pPr>
              <w:rPr>
                <w:rFonts w:ascii="Inter" w:eastAsia="Inter" w:hAnsi="Inter" w:cs="Inter"/>
                <w:color w:val="000000"/>
                <w:sz w:val="19"/>
                <w:szCs w:val="19"/>
                <w:lang w:val="en-US"/>
              </w:rPr>
            </w:pPr>
            <w:r w:rsidRPr="316BCA20">
              <w:rPr>
                <w:rFonts w:ascii="Inter" w:eastAsia="Inter" w:hAnsi="Inter" w:cs="Inter"/>
                <w:color w:val="000000" w:themeColor="text1"/>
                <w:sz w:val="19"/>
                <w:szCs w:val="19"/>
                <w:lang w:val="en-US"/>
              </w:rPr>
              <w:t xml:space="preserve">Assessment of the maturity of the proposed capture and storage technology and the credibility of the implementation timeline. Assess: (a) technology readiness level (TRL) for both the capture system and the storage pathway, with supporting evidence; (b) analogous </w:t>
            </w:r>
            <w:r w:rsidRPr="316BCA20">
              <w:rPr>
                <w:rFonts w:ascii="Inter" w:eastAsia="Inter" w:hAnsi="Inter" w:cs="Inter"/>
                <w:color w:val="000000" w:themeColor="text1"/>
                <w:sz w:val="19"/>
                <w:szCs w:val="19"/>
                <w:lang w:val="en-US"/>
              </w:rPr>
              <w:lastRenderedPageBreak/>
              <w:t>deployments at comparable scale and in comparable operating environments, including outcomes; (c) current project development status — site control, capture site host agreements, permitting stage, injection well permits, CO₂ transport or pipeline arrangements; and (d) whether the timeline to first CO₂ injection and full operational capacity is credible given the current development stage. Projects at early development stages must demonstrate a realistic and funded path to operation within the program period.</w:t>
            </w:r>
          </w:p>
        </w:tc>
        <w:tc>
          <w:tcPr>
            <w:tcW w:w="7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019B8AC" w14:textId="77777777" w:rsidR="003510A4" w:rsidRPr="008D2515" w:rsidRDefault="00FF18D5">
            <w:pPr>
              <w:jc w:val="center"/>
              <w:rPr>
                <w:sz w:val="19"/>
                <w:szCs w:val="19"/>
              </w:rPr>
            </w:pPr>
            <w:r w:rsidRPr="008D2515">
              <w:rPr>
                <w:sz w:val="19"/>
                <w:szCs w:val="19"/>
              </w:rPr>
              <w:lastRenderedPageBreak/>
              <w:t>5</w:t>
            </w:r>
          </w:p>
        </w:tc>
      </w:tr>
      <w:tr w:rsidR="003510A4" w14:paraId="73CC5FDD" w14:textId="77777777">
        <w:tc>
          <w:tcPr>
            <w:tcW w:w="90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1A83B581" w14:textId="77777777" w:rsidR="003510A4" w:rsidRDefault="00FF18D5">
            <w:pPr>
              <w:rPr>
                <w:rFonts w:ascii="Inter" w:eastAsia="Inter" w:hAnsi="Inter" w:cs="Inter"/>
                <w:b/>
                <w:bCs/>
                <w:sz w:val="19"/>
                <w:szCs w:val="19"/>
              </w:rPr>
            </w:pPr>
            <w:r>
              <w:rPr>
                <w:rFonts w:ascii="Inter" w:eastAsia="Inter" w:hAnsi="Inter" w:cs="Inter"/>
                <w:b/>
                <w:bCs/>
                <w:sz w:val="19"/>
                <w:szCs w:val="19"/>
              </w:rPr>
              <w:t>D3.4</w:t>
            </w:r>
          </w:p>
        </w:tc>
        <w:tc>
          <w:tcPr>
            <w:tcW w:w="170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9D6C871" w14:textId="77777777" w:rsidR="003510A4" w:rsidRDefault="00FF18D5">
            <w:pPr>
              <w:rPr>
                <w:rFonts w:ascii="Inter" w:eastAsia="Inter" w:hAnsi="Inter" w:cs="Inter"/>
                <w:b/>
                <w:bCs/>
                <w:color w:val="000000"/>
                <w:sz w:val="19"/>
                <w:szCs w:val="19"/>
              </w:rPr>
            </w:pPr>
            <w:r>
              <w:rPr>
                <w:rFonts w:ascii="Inter" w:eastAsia="Inter" w:hAnsi="Inter" w:cs="Inter"/>
                <w:b/>
                <w:bCs/>
                <w:color w:val="000000"/>
                <w:sz w:val="19"/>
                <w:szCs w:val="19"/>
              </w:rPr>
              <w:t>Permitting, Regulatory Compliance &amp; Long-Term Liability</w:t>
            </w:r>
          </w:p>
        </w:tc>
        <w:tc>
          <w:tcPr>
            <w:tcW w:w="6680"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4FD461D4" w14:textId="77777777" w:rsidR="003510A4" w:rsidRDefault="00FF18D5">
            <w:pPr>
              <w:rPr>
                <w:rFonts w:ascii="Inter" w:eastAsia="Inter" w:hAnsi="Inter" w:cs="Inter"/>
                <w:color w:val="000000"/>
                <w:sz w:val="19"/>
                <w:szCs w:val="19"/>
              </w:rPr>
            </w:pPr>
            <w:r>
              <w:rPr>
                <w:rFonts w:ascii="Inter" w:eastAsia="Inter" w:hAnsi="Inter" w:cs="Inter"/>
                <w:color w:val="000000"/>
                <w:sz w:val="19"/>
                <w:szCs w:val="19"/>
              </w:rPr>
              <w:t>Completeness of the regulatory pathway and clarity of long-term liability arrangements. Assess: (a) all permits and regulatory approvals required for the capture facility, CO₂ transport, and injection well(s), including status and expected timeline for each; (b) for geological storage: whether EPA Class VI Underground Injection Control (UIC) well permits have been applied for or granted, or whether state primacy applies; (c) surface and pore space rights agreements and their current status; (d) financial assurance obligations required by EPA or state regulators for post-injection site care; and (e) the proposed allocation of long-term storage liability between the project developer, PSE, and any third-party storage operator, and the basis for that allocation.</w:t>
            </w:r>
          </w:p>
        </w:tc>
        <w:tc>
          <w:tcPr>
            <w:tcW w:w="795" w:type="dxa"/>
            <w:tcBorders>
              <w:top w:val="single" w:sz="4" w:space="0" w:color="CCCCCC"/>
              <w:left w:val="single" w:sz="4" w:space="0" w:color="CCCCCC"/>
              <w:bottom w:val="single" w:sz="4" w:space="0" w:color="CCCCCC"/>
              <w:right w:val="single" w:sz="4" w:space="0" w:color="CCCCCC"/>
            </w:tcBorders>
            <w:tcMar>
              <w:top w:w="80" w:type="dxa"/>
              <w:left w:w="120" w:type="dxa"/>
              <w:bottom w:w="80" w:type="dxa"/>
              <w:right w:w="120" w:type="dxa"/>
            </w:tcMar>
          </w:tcPr>
          <w:p w14:paraId="21B9E67F" w14:textId="77777777" w:rsidR="003510A4" w:rsidRDefault="00FF18D5">
            <w:pPr>
              <w:jc w:val="center"/>
              <w:rPr>
                <w:sz w:val="20"/>
                <w:szCs w:val="20"/>
              </w:rPr>
            </w:pPr>
            <w:r>
              <w:rPr>
                <w:sz w:val="18"/>
                <w:szCs w:val="18"/>
              </w:rPr>
              <w:t>2</w:t>
            </w:r>
          </w:p>
        </w:tc>
      </w:tr>
    </w:tbl>
    <w:p w14:paraId="0286974D" w14:textId="77777777" w:rsidR="003510A4" w:rsidRDefault="003510A4">
      <w:pPr>
        <w:spacing w:before="160"/>
        <w:rPr>
          <w:sz w:val="20"/>
          <w:szCs w:val="20"/>
        </w:rPr>
      </w:pPr>
    </w:p>
    <w:p w14:paraId="00671BC0" w14:textId="77777777" w:rsidR="003510A4" w:rsidRDefault="003510A4">
      <w:pPr>
        <w:spacing w:before="80"/>
        <w:rPr>
          <w:rFonts w:ascii="Inter" w:eastAsia="Inter" w:hAnsi="Inter" w:cs="Inter"/>
        </w:rPr>
      </w:pPr>
    </w:p>
    <w:sectPr w:rsidR="003510A4">
      <w:headerReference w:type="default" r:id="rId13"/>
      <w:footerReference w:type="default" r:id="rId14"/>
      <w:headerReference w:type="first" r:id="rId15"/>
      <w:pgSz w:w="12240" w:h="15840"/>
      <w:pgMar w:top="1080" w:right="1080" w:bottom="108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2350E" w14:textId="77777777" w:rsidR="00C900A9" w:rsidRDefault="00C900A9">
      <w:r>
        <w:separator/>
      </w:r>
    </w:p>
  </w:endnote>
  <w:endnote w:type="continuationSeparator" w:id="0">
    <w:p w14:paraId="566EA8FB" w14:textId="77777777" w:rsidR="00C900A9" w:rsidRDefault="00C90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B67E8BA-DCAB-4AA3-853B-E64A93F123D6}"/>
  </w:font>
  <w:font w:name="Inter">
    <w:altName w:val="Calibri"/>
    <w:charset w:val="00"/>
    <w:family w:val="auto"/>
    <w:pitch w:val="variable"/>
    <w:sig w:usb0="E00002FF" w:usb1="1200A1FF" w:usb2="00000001" w:usb3="00000000" w:csb0="0000019F" w:csb1="00000000"/>
    <w:embedRegular r:id="rId2" w:fontKey="{7832EC1A-4455-4D62-8D84-CF48F785457F}"/>
    <w:embedBold r:id="rId3" w:fontKey="{054BFEFB-ABA2-41CE-9CF2-4C9B80824023}"/>
    <w:embedItalic r:id="rId4" w:fontKey="{5D711984-A873-4DA0-A02D-05AB5BBCE401}"/>
  </w:font>
  <w:font w:name="Calibri">
    <w:panose1 w:val="020F0502020204030204"/>
    <w:charset w:val="00"/>
    <w:family w:val="swiss"/>
    <w:pitch w:val="variable"/>
    <w:sig w:usb0="E4002EFF" w:usb1="C200247B" w:usb2="00000009" w:usb3="00000000" w:csb0="000001FF" w:csb1="00000000"/>
    <w:embedRegular r:id="rId5" w:fontKey="{CB03C964-60F3-4313-8D03-A177F5E64C43}"/>
  </w:font>
  <w:font w:name="Cambria">
    <w:panose1 w:val="02040503050406030204"/>
    <w:charset w:val="00"/>
    <w:family w:val="roman"/>
    <w:pitch w:val="variable"/>
    <w:sig w:usb0="E00006FF" w:usb1="420024FF" w:usb2="02000000" w:usb3="00000000" w:csb0="0000019F" w:csb1="00000000"/>
    <w:embedRegular r:id="rId6" w:fontKey="{810D667B-399E-43CA-A6C8-EB22F4FD5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1C81" w14:textId="77777777" w:rsidR="003510A4" w:rsidRDefault="00FF18D5">
    <w:pPr>
      <w:jc w:val="center"/>
    </w:pPr>
    <w:r>
      <w:rPr>
        <w:color w:val="808080"/>
        <w:sz w:val="15"/>
        <w:szCs w:val="15"/>
      </w:rPr>
      <w:t xml:space="preserve">2026 PSE Gas Decarbonization RFP — Exhibit A — Page </w:t>
    </w:r>
    <w:r>
      <w:rPr>
        <w:color w:val="808080"/>
        <w:sz w:val="15"/>
        <w:szCs w:val="15"/>
      </w:rPr>
      <w:fldChar w:fldCharType="begin"/>
    </w:r>
    <w:r>
      <w:rPr>
        <w:color w:val="808080"/>
        <w:sz w:val="15"/>
        <w:szCs w:val="15"/>
      </w:rPr>
      <w:instrText>PAGE</w:instrText>
    </w:r>
    <w:r>
      <w:rPr>
        <w:color w:val="808080"/>
        <w:sz w:val="15"/>
        <w:szCs w:val="15"/>
      </w:rPr>
      <w:fldChar w:fldCharType="separate"/>
    </w:r>
    <w:r w:rsidR="00D711F8">
      <w:rPr>
        <w:noProof/>
        <w:color w:val="808080"/>
        <w:sz w:val="15"/>
        <w:szCs w:val="15"/>
      </w:rPr>
      <w:t>1</w:t>
    </w:r>
    <w:r>
      <w:rPr>
        <w:color w:val="808080"/>
        <w:sz w:val="15"/>
        <w:szCs w:val="15"/>
      </w:rPr>
      <w:fldChar w:fldCharType="end"/>
    </w:r>
    <w:r>
      <w:rPr>
        <w:color w:val="808080"/>
        <w:sz w:val="15"/>
        <w:szCs w:val="15"/>
      </w:rPr>
      <w:t xml:space="preserve"> of </w:t>
    </w:r>
    <w:r>
      <w:rPr>
        <w:color w:val="808080"/>
        <w:sz w:val="15"/>
        <w:szCs w:val="15"/>
      </w:rPr>
      <w:fldChar w:fldCharType="begin"/>
    </w:r>
    <w:r>
      <w:rPr>
        <w:color w:val="808080"/>
        <w:sz w:val="15"/>
        <w:szCs w:val="15"/>
      </w:rPr>
      <w:instrText>NUMPAGES</w:instrText>
    </w:r>
    <w:r>
      <w:rPr>
        <w:color w:val="808080"/>
        <w:sz w:val="15"/>
        <w:szCs w:val="15"/>
      </w:rPr>
      <w:fldChar w:fldCharType="separate"/>
    </w:r>
    <w:r w:rsidR="00D711F8">
      <w:rPr>
        <w:noProof/>
        <w:color w:val="808080"/>
        <w:sz w:val="15"/>
        <w:szCs w:val="15"/>
      </w:rPr>
      <w:t>2</w:t>
    </w:r>
    <w:r>
      <w:rPr>
        <w:color w:val="808080"/>
        <w:sz w:val="15"/>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533252" w14:textId="77777777" w:rsidR="00C900A9" w:rsidRDefault="00C900A9">
      <w:r>
        <w:separator/>
      </w:r>
    </w:p>
  </w:footnote>
  <w:footnote w:type="continuationSeparator" w:id="0">
    <w:p w14:paraId="636117FE" w14:textId="77777777" w:rsidR="00C900A9" w:rsidRDefault="00C900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349F" w14:textId="77777777" w:rsidR="003510A4" w:rsidRDefault="003510A4">
    <w:pPr>
      <w:spacing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8D626" w14:textId="77777777" w:rsidR="003510A4" w:rsidRDefault="00FF18D5">
    <w:pPr>
      <w:spacing w:line="276" w:lineRule="auto"/>
    </w:pPr>
    <w:r>
      <w:rPr>
        <w:noProof/>
      </w:rPr>
      <w:drawing>
        <wp:inline distT="114300" distB="114300" distL="114300" distR="114300" wp14:anchorId="422769CC" wp14:editId="7D1285DB">
          <wp:extent cx="1169903" cy="6143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69903" cy="614363"/>
                  </a:xfrm>
                  <a:prstGeom prst="rect">
                    <a:avLst/>
                  </a:prstGeom>
                  <a:ln/>
                </pic:spPr>
              </pic:pic>
            </a:graphicData>
          </a:graphic>
        </wp:inline>
      </w:drawing>
    </w:r>
    <w:r>
      <w:rPr>
        <w:b/>
        <w:bCs/>
        <w:color w:val="1F3864"/>
        <w:sz w:val="18"/>
        <w:szCs w:val="18"/>
      </w:rPr>
      <w:t>PSE 2026 CCA Decarbonization RFP — Evaluation Criteria</w:t>
    </w:r>
  </w:p>
  <w:p w14:paraId="629C6969" w14:textId="77777777" w:rsidR="003510A4" w:rsidRDefault="003510A4">
    <w:pPr>
      <w:spacing w:line="276"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0A4"/>
    <w:rsid w:val="00007374"/>
    <w:rsid w:val="00056E06"/>
    <w:rsid w:val="00097FCF"/>
    <w:rsid w:val="000D0F61"/>
    <w:rsid w:val="000D2F8E"/>
    <w:rsid w:val="000D744F"/>
    <w:rsid w:val="000F0171"/>
    <w:rsid w:val="00113D78"/>
    <w:rsid w:val="001411B2"/>
    <w:rsid w:val="001631D0"/>
    <w:rsid w:val="001677A6"/>
    <w:rsid w:val="00192EBB"/>
    <w:rsid w:val="001A42A5"/>
    <w:rsid w:val="001C268D"/>
    <w:rsid w:val="001C7150"/>
    <w:rsid w:val="001C7287"/>
    <w:rsid w:val="001D2E29"/>
    <w:rsid w:val="001F317B"/>
    <w:rsid w:val="00206C8C"/>
    <w:rsid w:val="00253062"/>
    <w:rsid w:val="002770AE"/>
    <w:rsid w:val="002801D4"/>
    <w:rsid w:val="00280C0A"/>
    <w:rsid w:val="00290F2E"/>
    <w:rsid w:val="002C677A"/>
    <w:rsid w:val="00305705"/>
    <w:rsid w:val="003129B1"/>
    <w:rsid w:val="00313EAB"/>
    <w:rsid w:val="00337A9C"/>
    <w:rsid w:val="003510A4"/>
    <w:rsid w:val="00357EBD"/>
    <w:rsid w:val="00366257"/>
    <w:rsid w:val="00370F43"/>
    <w:rsid w:val="00381673"/>
    <w:rsid w:val="003D2638"/>
    <w:rsid w:val="003D6274"/>
    <w:rsid w:val="0040230F"/>
    <w:rsid w:val="00436614"/>
    <w:rsid w:val="00443CD8"/>
    <w:rsid w:val="00453101"/>
    <w:rsid w:val="004537E2"/>
    <w:rsid w:val="00467CA5"/>
    <w:rsid w:val="00472921"/>
    <w:rsid w:val="004736B5"/>
    <w:rsid w:val="00481F7D"/>
    <w:rsid w:val="00483F2D"/>
    <w:rsid w:val="00484718"/>
    <w:rsid w:val="004B29D2"/>
    <w:rsid w:val="004C6718"/>
    <w:rsid w:val="004D5165"/>
    <w:rsid w:val="005074C1"/>
    <w:rsid w:val="0054095D"/>
    <w:rsid w:val="00551195"/>
    <w:rsid w:val="00581EE6"/>
    <w:rsid w:val="005872B1"/>
    <w:rsid w:val="00596C38"/>
    <w:rsid w:val="005A66FB"/>
    <w:rsid w:val="005A7820"/>
    <w:rsid w:val="005C52C2"/>
    <w:rsid w:val="005C7556"/>
    <w:rsid w:val="005D6E01"/>
    <w:rsid w:val="005E2085"/>
    <w:rsid w:val="005F6802"/>
    <w:rsid w:val="00600251"/>
    <w:rsid w:val="006061D7"/>
    <w:rsid w:val="00613F19"/>
    <w:rsid w:val="0061680D"/>
    <w:rsid w:val="00621E03"/>
    <w:rsid w:val="0062373A"/>
    <w:rsid w:val="0063147B"/>
    <w:rsid w:val="00636675"/>
    <w:rsid w:val="00655BA2"/>
    <w:rsid w:val="006748A6"/>
    <w:rsid w:val="00687062"/>
    <w:rsid w:val="006932FD"/>
    <w:rsid w:val="006A72D8"/>
    <w:rsid w:val="006B53FC"/>
    <w:rsid w:val="006B72E6"/>
    <w:rsid w:val="00713BF4"/>
    <w:rsid w:val="00744569"/>
    <w:rsid w:val="00777E1D"/>
    <w:rsid w:val="007B2FE8"/>
    <w:rsid w:val="007B4B38"/>
    <w:rsid w:val="007B4F84"/>
    <w:rsid w:val="007C3B38"/>
    <w:rsid w:val="007C64EB"/>
    <w:rsid w:val="007D4F91"/>
    <w:rsid w:val="007E2965"/>
    <w:rsid w:val="00837537"/>
    <w:rsid w:val="00851B44"/>
    <w:rsid w:val="00892D46"/>
    <w:rsid w:val="008946AC"/>
    <w:rsid w:val="008A040B"/>
    <w:rsid w:val="008A49FC"/>
    <w:rsid w:val="008C1E06"/>
    <w:rsid w:val="008C5A82"/>
    <w:rsid w:val="008D20D8"/>
    <w:rsid w:val="008D2515"/>
    <w:rsid w:val="008E7F17"/>
    <w:rsid w:val="0090626A"/>
    <w:rsid w:val="00911947"/>
    <w:rsid w:val="00913254"/>
    <w:rsid w:val="0093354B"/>
    <w:rsid w:val="009511D5"/>
    <w:rsid w:val="0095681C"/>
    <w:rsid w:val="0097547F"/>
    <w:rsid w:val="00986537"/>
    <w:rsid w:val="009866A9"/>
    <w:rsid w:val="009A3319"/>
    <w:rsid w:val="009C50E0"/>
    <w:rsid w:val="009C73B1"/>
    <w:rsid w:val="009E5CBE"/>
    <w:rsid w:val="00A228F4"/>
    <w:rsid w:val="00A25860"/>
    <w:rsid w:val="00A55083"/>
    <w:rsid w:val="00A726F2"/>
    <w:rsid w:val="00A93615"/>
    <w:rsid w:val="00A937FC"/>
    <w:rsid w:val="00A95EF6"/>
    <w:rsid w:val="00AA6A0F"/>
    <w:rsid w:val="00B370FF"/>
    <w:rsid w:val="00B378B2"/>
    <w:rsid w:val="00B827B7"/>
    <w:rsid w:val="00B82BD6"/>
    <w:rsid w:val="00BC2B13"/>
    <w:rsid w:val="00BF79A9"/>
    <w:rsid w:val="00C77878"/>
    <w:rsid w:val="00C8034D"/>
    <w:rsid w:val="00C81BF7"/>
    <w:rsid w:val="00C8232B"/>
    <w:rsid w:val="00C900A9"/>
    <w:rsid w:val="00C938CE"/>
    <w:rsid w:val="00CC2538"/>
    <w:rsid w:val="00CC3B05"/>
    <w:rsid w:val="00CC664C"/>
    <w:rsid w:val="00D00946"/>
    <w:rsid w:val="00D33B71"/>
    <w:rsid w:val="00D34D77"/>
    <w:rsid w:val="00D51BFE"/>
    <w:rsid w:val="00D5401E"/>
    <w:rsid w:val="00D711F8"/>
    <w:rsid w:val="00D727A1"/>
    <w:rsid w:val="00D91546"/>
    <w:rsid w:val="00DA476F"/>
    <w:rsid w:val="00DB7731"/>
    <w:rsid w:val="00DC00C5"/>
    <w:rsid w:val="00DC7F65"/>
    <w:rsid w:val="00DD04DC"/>
    <w:rsid w:val="00E03768"/>
    <w:rsid w:val="00E83A3A"/>
    <w:rsid w:val="00E9089D"/>
    <w:rsid w:val="00E91B84"/>
    <w:rsid w:val="00E973E1"/>
    <w:rsid w:val="00EC0640"/>
    <w:rsid w:val="00EC7880"/>
    <w:rsid w:val="00EE08F1"/>
    <w:rsid w:val="00EF782F"/>
    <w:rsid w:val="00F1676C"/>
    <w:rsid w:val="00F21919"/>
    <w:rsid w:val="00F25E83"/>
    <w:rsid w:val="00F3690B"/>
    <w:rsid w:val="00F734BE"/>
    <w:rsid w:val="00F90801"/>
    <w:rsid w:val="00F969C8"/>
    <w:rsid w:val="00F9792E"/>
    <w:rsid w:val="00FA1CD5"/>
    <w:rsid w:val="00FA3F65"/>
    <w:rsid w:val="00FD70C8"/>
    <w:rsid w:val="00FE3B3E"/>
    <w:rsid w:val="00FF18D5"/>
    <w:rsid w:val="00FF6EA7"/>
    <w:rsid w:val="0FB8DF8D"/>
    <w:rsid w:val="1BB66E46"/>
    <w:rsid w:val="316BCA20"/>
    <w:rsid w:val="32883F21"/>
    <w:rsid w:val="40879841"/>
    <w:rsid w:val="4ADF6E87"/>
    <w:rsid w:val="52A52F4F"/>
    <w:rsid w:val="59CCA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8AD9"/>
  <w15:docId w15:val="{52759ED0-EA7F-A545-B03C-B5ADEC87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80" w:after="100"/>
      <w:outlineLvl w:val="0"/>
    </w:pPr>
    <w:rPr>
      <w:b/>
      <w:bCs/>
      <w:color w:val="1F3864"/>
      <w:sz w:val="30"/>
      <w:szCs w:val="30"/>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b/>
      <w:bCs/>
      <w:color w:val="2E5F9A"/>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spacing w:before="160" w:after="60"/>
      <w:outlineLvl w:val="2"/>
    </w:pPr>
    <w:rPr>
      <w:b/>
      <w:bCs/>
      <w:color w:val="1A6B75"/>
      <w:sz w:val="23"/>
      <w:szCs w:val="23"/>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 w:type="table" w:customStyle="1" w:styleId="a7">
    <w:basedOn w:val="TableNormal0"/>
    <w:tblPr>
      <w:tblStyleRowBandSize w:val="1"/>
      <w:tblStyleColBandSize w:val="1"/>
      <w:tblCellMar>
        <w:top w:w="0" w:type="dxa"/>
        <w:left w:w="10" w:type="dxa"/>
        <w:bottom w:w="0" w:type="dxa"/>
        <w:right w:w="10" w:type="dxa"/>
      </w:tblCellMar>
    </w:tblPr>
  </w:style>
  <w:style w:type="table" w:customStyle="1" w:styleId="a8">
    <w:basedOn w:val="TableNormal0"/>
    <w:tblPr>
      <w:tblStyleRowBandSize w:val="1"/>
      <w:tblStyleColBandSize w:val="1"/>
      <w:tblCellMar>
        <w:top w:w="0" w:type="dxa"/>
        <w:left w:w="10" w:type="dxa"/>
        <w:bottom w:w="0" w:type="dxa"/>
        <w:right w:w="10" w:type="dxa"/>
      </w:tblCellMar>
    </w:tblPr>
  </w:style>
  <w:style w:type="table" w:customStyle="1" w:styleId="a9">
    <w:basedOn w:val="TableNormal0"/>
    <w:tblPr>
      <w:tblStyleRowBandSize w:val="1"/>
      <w:tblStyleColBandSize w:val="1"/>
      <w:tblCellMar>
        <w:top w:w="0" w:type="dxa"/>
        <w:left w:w="10" w:type="dxa"/>
        <w:bottom w:w="0" w:type="dxa"/>
        <w:right w:w="10" w:type="dxa"/>
      </w:tblCellMar>
    </w:tblPr>
  </w:style>
  <w:style w:type="table" w:customStyle="1" w:styleId="aa">
    <w:basedOn w:val="TableNormal0"/>
    <w:tblPr>
      <w:tblStyleRowBandSize w:val="1"/>
      <w:tblStyleColBandSize w:val="1"/>
      <w:tblCellMar>
        <w:top w:w="0" w:type="dxa"/>
        <w:left w:w="10" w:type="dxa"/>
        <w:bottom w:w="0" w:type="dxa"/>
        <w:right w:w="10" w:type="dxa"/>
      </w:tblCellMar>
    </w:tblPr>
  </w:style>
  <w:style w:type="table" w:customStyle="1" w:styleId="ab">
    <w:basedOn w:val="TableNormal0"/>
    <w:tblPr>
      <w:tblStyleRowBandSize w:val="1"/>
      <w:tblStyleColBandSize w:val="1"/>
      <w:tblCellMar>
        <w:top w:w="0" w:type="dxa"/>
        <w:left w:w="10" w:type="dxa"/>
        <w:bottom w:w="0" w:type="dxa"/>
        <w:right w:w="10"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253062"/>
    <w:rPr>
      <w:sz w:val="16"/>
      <w:szCs w:val="16"/>
    </w:rPr>
  </w:style>
  <w:style w:type="paragraph" w:styleId="CommentText">
    <w:name w:val="annotation text"/>
    <w:basedOn w:val="Normal"/>
    <w:link w:val="CommentTextChar"/>
    <w:uiPriority w:val="99"/>
    <w:unhideWhenUsed/>
    <w:rsid w:val="00253062"/>
    <w:rPr>
      <w:sz w:val="20"/>
      <w:szCs w:val="20"/>
    </w:rPr>
  </w:style>
  <w:style w:type="character" w:customStyle="1" w:styleId="CommentTextChar">
    <w:name w:val="Comment Text Char"/>
    <w:basedOn w:val="DefaultParagraphFont"/>
    <w:link w:val="CommentText"/>
    <w:uiPriority w:val="99"/>
    <w:rsid w:val="00253062"/>
    <w:rPr>
      <w:sz w:val="20"/>
      <w:szCs w:val="20"/>
    </w:rPr>
  </w:style>
  <w:style w:type="paragraph" w:styleId="CommentSubject">
    <w:name w:val="annotation subject"/>
    <w:basedOn w:val="CommentText"/>
    <w:next w:val="CommentText"/>
    <w:link w:val="CommentSubjectChar"/>
    <w:uiPriority w:val="99"/>
    <w:semiHidden/>
    <w:unhideWhenUsed/>
    <w:rsid w:val="00253062"/>
    <w:rPr>
      <w:b/>
      <w:bCs/>
    </w:rPr>
  </w:style>
  <w:style w:type="character" w:customStyle="1" w:styleId="CommentSubjectChar">
    <w:name w:val="Comment Subject Char"/>
    <w:basedOn w:val="CommentTextChar"/>
    <w:link w:val="CommentSubject"/>
    <w:uiPriority w:val="99"/>
    <w:semiHidden/>
    <w:rsid w:val="00253062"/>
    <w:rPr>
      <w:b/>
      <w:bCs/>
      <w:sz w:val="20"/>
      <w:szCs w:val="20"/>
    </w:rPr>
  </w:style>
  <w:style w:type="paragraph" w:styleId="Revision">
    <w:name w:val="Revision"/>
    <w:hidden/>
    <w:uiPriority w:val="99"/>
    <w:semiHidden/>
    <w:rsid w:val="00C77878"/>
  </w:style>
  <w:style w:type="character" w:styleId="Hyperlink">
    <w:name w:val="Hyperlink"/>
    <w:basedOn w:val="DefaultParagraphFont"/>
    <w:uiPriority w:val="99"/>
    <w:unhideWhenUsed/>
    <w:rsid w:val="00DC7F65"/>
    <w:rPr>
      <w:color w:val="0000FF" w:themeColor="hyperlink"/>
      <w:u w:val="single"/>
    </w:rPr>
  </w:style>
  <w:style w:type="character" w:styleId="UnresolvedMention">
    <w:name w:val="Unresolved Mention"/>
    <w:basedOn w:val="DefaultParagraphFont"/>
    <w:uiPriority w:val="99"/>
    <w:semiHidden/>
    <w:unhideWhenUsed/>
    <w:rsid w:val="00DC7F65"/>
    <w:rPr>
      <w:color w:val="605E5C"/>
      <w:shd w:val="clear" w:color="auto" w:fill="E1DFDD"/>
    </w:rPr>
  </w:style>
  <w:style w:type="paragraph" w:styleId="Header">
    <w:name w:val="header"/>
    <w:basedOn w:val="Normal"/>
    <w:link w:val="HeaderChar"/>
    <w:uiPriority w:val="99"/>
    <w:semiHidden/>
    <w:unhideWhenUsed/>
    <w:rsid w:val="00D51BFE"/>
    <w:pPr>
      <w:tabs>
        <w:tab w:val="center" w:pos="4680"/>
        <w:tab w:val="right" w:pos="9360"/>
      </w:tabs>
    </w:pPr>
  </w:style>
  <w:style w:type="character" w:customStyle="1" w:styleId="HeaderChar">
    <w:name w:val="Header Char"/>
    <w:basedOn w:val="DefaultParagraphFont"/>
    <w:link w:val="Header"/>
    <w:uiPriority w:val="99"/>
    <w:semiHidden/>
    <w:rsid w:val="00D51BFE"/>
  </w:style>
  <w:style w:type="paragraph" w:styleId="Footer">
    <w:name w:val="footer"/>
    <w:basedOn w:val="Normal"/>
    <w:link w:val="FooterChar"/>
    <w:uiPriority w:val="99"/>
    <w:semiHidden/>
    <w:unhideWhenUsed/>
    <w:rsid w:val="00D51BFE"/>
    <w:pPr>
      <w:tabs>
        <w:tab w:val="center" w:pos="4680"/>
        <w:tab w:val="right" w:pos="9360"/>
      </w:tabs>
    </w:pPr>
  </w:style>
  <w:style w:type="character" w:customStyle="1" w:styleId="FooterChar">
    <w:name w:val="Footer Char"/>
    <w:basedOn w:val="DefaultParagraphFont"/>
    <w:link w:val="Footer"/>
    <w:uiPriority w:val="99"/>
    <w:semiHidden/>
    <w:rsid w:val="00D51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sri.pse.com/portal/apps/mapviewer/index.html?webmap=da2b79bdd39847b4949683b10c7e2d81"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se.com/en/about-us/energy-equity" TargetMode="Externa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bRCEtNhi6qb/cTVuZg2UJtn2A==">CgMxLjA4AHIhMVl4R1hxcFJCUnlSeXRUbzhsMkF2Y1hicmo3YW0wZkt1</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F9EC0296BB7A1946B8C5186794BF32DE" ma:contentTypeVersion="4" ma:contentTypeDescription="Create a new document." ma:contentTypeScope="" ma:versionID="d0c9eb5784d540da17106c72025eab56">
  <xsd:schema xmlns:xsd="http://www.w3.org/2001/XMLSchema" xmlns:xs="http://www.w3.org/2001/XMLSchema" xmlns:p="http://schemas.microsoft.com/office/2006/metadata/properties" xmlns:ns2="18650227-a6ba-456e-8480-3714f3205380" targetNamespace="http://schemas.microsoft.com/office/2006/metadata/properties" ma:root="true" ma:fieldsID="9bb1cd43e88176ff7057a730bdb33a54" ns2:_="">
    <xsd:import namespace="18650227-a6ba-456e-8480-3714f32053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0227-a6ba-456e-8480-3714f3205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61ACF1-D83F-4D9B-9717-E0E23B852F0E}">
  <ds:schemaRefs>
    <ds:schemaRef ds:uri="http://schemas.microsoft.com/sharepoint/v3/contenttype/forms"/>
  </ds:schemaRefs>
</ds:datastoreItem>
</file>

<file path=customXml/itemProps2.xml><?xml version="1.0" encoding="utf-8"?>
<ds:datastoreItem xmlns:ds="http://schemas.openxmlformats.org/officeDocument/2006/customXml" ds:itemID="{C5B6F2FF-7DAE-48BA-BEB4-D46947BE5C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FC4E9D7-7C4B-4EA8-A23D-A5805F2610A2}">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4FD4F31-C3DE-4EE0-9C52-83CDB033FB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50227-a6ba-456e-8480-3714f32053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8</Pages>
  <Words>3245</Words>
  <Characters>18498</Characters>
  <Application>Microsoft Office Word</Application>
  <DocSecurity>0</DocSecurity>
  <Lines>154</Lines>
  <Paragraphs>43</Paragraphs>
  <ScaleCrop>false</ScaleCrop>
  <Company/>
  <LinksUpToDate>false</LinksUpToDate>
  <CharactersWithSpaces>21700</CharactersWithSpaces>
  <SharedDoc>false</SharedDoc>
  <HLinks>
    <vt:vector size="12" baseType="variant">
      <vt:variant>
        <vt:i4>4587605</vt:i4>
      </vt:variant>
      <vt:variant>
        <vt:i4>3</vt:i4>
      </vt:variant>
      <vt:variant>
        <vt:i4>0</vt:i4>
      </vt:variant>
      <vt:variant>
        <vt:i4>5</vt:i4>
      </vt:variant>
      <vt:variant>
        <vt:lpwstr>https://esri.pse.com/portal/apps/mapviewer/index.html?webmap=da2b79bdd39847b4949683b10c7e2d81</vt:lpwstr>
      </vt:variant>
      <vt:variant>
        <vt:lpwstr/>
      </vt:variant>
      <vt:variant>
        <vt:i4>1703946</vt:i4>
      </vt:variant>
      <vt:variant>
        <vt:i4>0</vt:i4>
      </vt:variant>
      <vt:variant>
        <vt:i4>0</vt:i4>
      </vt:variant>
      <vt:variant>
        <vt:i4>5</vt:i4>
      </vt:variant>
      <vt:variant>
        <vt:lpwstr>https://www.pse.com/en/about-us/energy-equity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 Becca</dc:creator>
  <cp:lastModifiedBy>Walker, Becca</cp:lastModifiedBy>
  <cp:revision>112</cp:revision>
  <dcterms:created xsi:type="dcterms:W3CDTF">2026-05-15T00:18:00Z</dcterms:created>
  <dcterms:modified xsi:type="dcterms:W3CDTF">2026-05-15T23:01:00Z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0x010100F9EC0296BB7A1946B8C5186794BF32DE</vt:lpwstr>
  </property>
  <property fmtid="{D5CDD505-2E9C-101B-9397-08002B2CF9AE}" pid="3" name="MSIP_Label_b689cc04-6351-41d8-9f1d-a834e5351c1d_Enabled">
    <vt:lpwstr>true</vt:lpwstr>
  </property>
  <property fmtid="{D5CDD505-2E9C-101B-9397-08002B2CF9AE}" pid="4" name="MSIP_Label_b689cc04-6351-41d8-9f1d-a834e5351c1d_SetDate">
    <vt:lpwstr>2026-04-22T19:30:17Z</vt:lpwstr>
  </property>
  <property fmtid="{D5CDD505-2E9C-101B-9397-08002B2CF9AE}" pid="5" name="MSIP_Label_b689cc04-6351-41d8-9f1d-a834e5351c1d_Method">
    <vt:lpwstr>Standard</vt:lpwstr>
  </property>
  <property fmtid="{D5CDD505-2E9C-101B-9397-08002B2CF9AE}" pid="6" name="MSIP_Label_b689cc04-6351-41d8-9f1d-a834e5351c1d_Name">
    <vt:lpwstr>Internal Use Only</vt:lpwstr>
  </property>
  <property fmtid="{D5CDD505-2E9C-101B-9397-08002B2CF9AE}" pid="7" name="MSIP_Label_b689cc04-6351-41d8-9f1d-a834e5351c1d_SiteId">
    <vt:lpwstr>58e8b525-6212-4087-a0d0-fa755583444b</vt:lpwstr>
  </property>
  <property fmtid="{D5CDD505-2E9C-101B-9397-08002B2CF9AE}" pid="8" name="MSIP_Label_b689cc04-6351-41d8-9f1d-a834e5351c1d_ActionId">
    <vt:lpwstr>484e5c2e-18d5-48a4-a407-f5118d1d6c72</vt:lpwstr>
  </property>
  <property fmtid="{D5CDD505-2E9C-101B-9397-08002B2CF9AE}" pid="9" name="MSIP_Label_b689cc04-6351-41d8-9f1d-a834e5351c1d_ContentBits">
    <vt:lpwstr>0</vt:lpwstr>
  </property>
  <property fmtid="{D5CDD505-2E9C-101B-9397-08002B2CF9AE}" pid="10" name="MSIP_Label_b689cc04-6351-41d8-9f1d-a834e5351c1d_Tag">
    <vt:lpwstr>10, 3, 0, 1</vt:lpwstr>
  </property>
  <property fmtid="{D5CDD505-2E9C-101B-9397-08002B2CF9AE}" pid="11" name="docLang">
    <vt:lpwstr>en</vt:lpwstr>
  </property>
</Properties>
</file>