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416189966" w:displacedByCustomXml="next"/>
    <w:sdt>
      <w:sdtPr>
        <w:rPr>
          <w:rFonts w:asciiTheme="majorHAnsi" w:eastAsiaTheme="majorEastAsia" w:hAnsiTheme="majorHAnsi" w:cstheme="majorBidi"/>
          <w:lang w:eastAsia="en-US"/>
        </w:rPr>
        <w:id w:val="-687758248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b/>
          <w:i/>
          <w:sz w:val="24"/>
          <w:szCs w:val="24"/>
        </w:rPr>
      </w:sdtEndPr>
      <w:sdtContent>
        <w:tbl>
          <w:tblPr>
            <w:tblpPr w:leftFromText="187" w:rightFromText="187" w:horzAnchor="margin" w:tblpXSpec="center" w:tblpY="2881"/>
            <w:tblW w:w="4084" w:type="pct"/>
            <w:tblBorders>
              <w:left w:val="single" w:sz="18" w:space="0" w:color="4F81BD" w:themeColor="accent1"/>
            </w:tblBorders>
            <w:tblLook w:val="04A0" w:firstRow="1" w:lastRow="0" w:firstColumn="1" w:lastColumn="0" w:noHBand="0" w:noVBand="1"/>
          </w:tblPr>
          <w:tblGrid>
            <w:gridCol w:w="7626"/>
          </w:tblGrid>
          <w:tr>
            <w:tc>
              <w:tcPr>
                <w:tcW w:w="7627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>
                <w:pPr>
                  <w:pStyle w:val="NoSpacing"/>
                  <w:spacing w:line="276" w:lineRule="auto"/>
                  <w:rPr>
                    <w:rFonts w:asciiTheme="majorHAnsi" w:eastAsiaTheme="majorEastAsia" w:hAnsiTheme="majorHAnsi" w:cstheme="majorBidi"/>
                  </w:rPr>
                </w:pPr>
              </w:p>
              <w:p>
                <w:pPr>
                  <w:pStyle w:val="NoSpacing"/>
                  <w:spacing w:line="276" w:lineRule="auto"/>
                  <w:rPr>
                    <w:rFonts w:eastAsiaTheme="majorEastAsia" w:cstheme="majorBidi"/>
                    <w:i/>
                    <w:sz w:val="28"/>
                  </w:rPr>
                </w:pPr>
                <w:r>
                  <w:rPr>
                    <w:rFonts w:eastAsiaTheme="majorEastAsia" w:cstheme="majorBidi"/>
                    <w:i/>
                    <w:sz w:val="28"/>
                  </w:rPr>
                  <w:t xml:space="preserve">2023 Distributed Solar and Storage Resources RFP: </w:t>
                </w:r>
              </w:p>
            </w:tc>
          </w:tr>
          <w:tr>
            <w:tc>
              <w:tcPr>
                <w:tcW w:w="7627" w:type="dxa"/>
              </w:tcPr>
              <w:p>
                <w:pPr>
                  <w:pStyle w:val="NoSpacing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</w:pPr>
                <w:r>
                  <w:rPr>
                    <w:rFonts w:asciiTheme="majorHAnsi" w:eastAsiaTheme="majorEastAsia" w:hAnsiTheme="majorHAnsi" w:cstheme="majorBidi"/>
                    <w:color w:val="4F81BD" w:themeColor="accent1"/>
                    <w:sz w:val="56"/>
                    <w:szCs w:val="80"/>
                  </w:rPr>
                  <w:t>Exhibit E. Schedule of Estimated Avoided Cost</w:t>
                </w:r>
              </w:p>
            </w:tc>
          </w:tr>
          <w:tr>
            <w:tc>
              <w:tcPr>
                <w:tcW w:w="7627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>
                <w:pPr>
                  <w:pStyle w:val="NoSpacing"/>
                  <w:rPr>
                    <w:rFonts w:asciiTheme="majorHAnsi" w:eastAsiaTheme="majorEastAsia" w:hAnsiTheme="majorHAnsi" w:cstheme="majorBidi"/>
                  </w:rPr>
                </w:pPr>
              </w:p>
            </w:tc>
          </w:tr>
        </w:tbl>
        <w:p/>
        <w:p/>
        <w:p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align>right</wp:align>
                </wp:positionH>
                <wp:positionV relativeFrom="topMargin">
                  <wp:align>bottom</wp:align>
                </wp:positionV>
                <wp:extent cx="2313432" cy="365760"/>
                <wp:effectExtent l="0" t="0" r="0" b="0"/>
                <wp:wrapNone/>
                <wp:docPr id="1" name="Picture 1" descr="NoBar_StdDark_NoTag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NoBar_StdDark_NoTag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3432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pPr w:leftFromText="187" w:rightFromText="187" w:horzAnchor="margin" w:tblpXSpec="center" w:tblpYSpec="bottom"/>
            <w:tblW w:w="4000" w:type="pct"/>
            <w:tblLook w:val="04A0" w:firstRow="1" w:lastRow="0" w:firstColumn="1" w:lastColumn="0" w:noHBand="0" w:noVBand="1"/>
          </w:tblPr>
          <w:tblGrid>
            <w:gridCol w:w="7488"/>
          </w:tblGrid>
          <w:tr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>
                <w:pPr>
                  <w:pStyle w:val="NoSpacing"/>
                  <w:rPr>
                    <w:color w:val="4F81BD" w:themeColor="accent1"/>
                  </w:rPr>
                </w:pPr>
              </w:p>
            </w:tc>
          </w:tr>
        </w:tbl>
        <w:p/>
        <w:p>
          <w:pPr>
            <w:rPr>
              <w:sz w:val="24"/>
              <w:szCs w:val="24"/>
            </w:rPr>
          </w:pPr>
          <w:r>
            <w:rPr>
              <w:b/>
              <w:i/>
              <w:sz w:val="24"/>
              <w:szCs w:val="24"/>
            </w:rPr>
            <w:br w:type="page"/>
          </w:r>
        </w:p>
      </w:sdtContent>
    </w:sdt>
    <w:bookmarkEnd w:id="0"/>
    <w:p>
      <w:pPr>
        <w:pStyle w:val="Subhead1"/>
        <w:ind w:left="0"/>
      </w:pPr>
      <w:r>
        <w:lastRenderedPageBreak/>
        <w:t xml:space="preserve">Schedule of Estimated Avoided Cost </w:t>
      </w:r>
    </w:p>
    <w:p>
      <w:pPr>
        <w:pStyle w:val="BodyText"/>
      </w:pPr>
      <w:r>
        <w:t>This schedule of estimated avoided cost, as prescribed in WAC 480-106-040 and filed with the WUTC in Docket No. UE-220786, identifies the estimated avoided cost and does not provide a guaranteed contract price for electricity. The schedule only provides general information to potential respondents about the avoided costs. The schedule of estimated avoided costs includes the following two tables:</w:t>
      </w:r>
    </w:p>
    <w:p>
      <w:pPr>
        <w:pStyle w:val="BodyText"/>
        <w:numPr>
          <w:ilvl w:val="0"/>
          <w:numId w:val="52"/>
        </w:numPr>
        <w:rPr>
          <w:rFonts w:ascii="Times New Roman" w:hAnsi="Times New Roman" w:cs="Times New Roman"/>
          <w:color w:val="000000"/>
        </w:rPr>
      </w:pPr>
      <w:r>
        <w:rPr>
          <w:b/>
        </w:rPr>
        <w:t>Table 1:</w:t>
      </w:r>
      <w:r>
        <w:t xml:space="preserve"> 2023-2043 avoided energy costs, based on the Company’s forecast of market prices for the Mid-C Market in its two-year progress report on the 2021 Integrated Resource Plan (“IRP”) in accordance with WAC 480-100-625(4) and WAC 480-106-040(a).  </w:t>
      </w:r>
    </w:p>
    <w:p>
      <w:pPr>
        <w:pStyle w:val="BodyText"/>
        <w:numPr>
          <w:ilvl w:val="0"/>
          <w:numId w:val="52"/>
        </w:numPr>
      </w:pPr>
      <w:r>
        <w:rPr>
          <w:b/>
        </w:rPr>
        <w:t>Table 2:</w:t>
      </w:r>
      <w:r>
        <w:t xml:space="preserve"> 2021-2041 avoided capacity costs by resource type, as estimated in the Company’s 2021 IRP filed on April 1, 2021.  Pursuant to WAC 480-106-040(b</w:t>
      </w:r>
      <w:proofErr w:type="gramStart"/>
      <w:r>
        <w:t>)(</w:t>
      </w:r>
      <w:proofErr w:type="gramEnd"/>
      <w:r>
        <w:t>ii), the 2021 IRP results for 2022-2025 are replaced with the "projected fixed costs of a simple-cycle combustion turbine".</w:t>
      </w:r>
    </w:p>
    <w:tbl>
      <w:tblPr>
        <w:tblStyle w:val="TableGridLight"/>
        <w:tblpPr w:leftFromText="180" w:rightFromText="180" w:vertAnchor="page" w:horzAnchor="margin" w:tblpY="7752"/>
        <w:tblW w:w="10076" w:type="dxa"/>
        <w:tblLayout w:type="fixed"/>
        <w:tblLook w:val="04A0" w:firstRow="1" w:lastRow="0" w:firstColumn="1" w:lastColumn="0" w:noHBand="0" w:noVBand="1"/>
      </w:tblPr>
      <w:tblGrid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719"/>
        <w:gridCol w:w="10"/>
      </w:tblGrid>
      <w:tr>
        <w:trPr>
          <w:trHeight w:val="248"/>
        </w:trPr>
        <w:tc>
          <w:tcPr>
            <w:tcW w:w="10076" w:type="dxa"/>
            <w:gridSpan w:val="15"/>
            <w:shd w:val="clear" w:color="auto" w:fill="D9D9D9" w:themeFill="background1" w:themeFillShade="D9"/>
          </w:tcPr>
          <w:p>
            <w:pPr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szCs w:val="16"/>
              </w:rPr>
              <w:t>(Nominal $/MWh)</w:t>
            </w:r>
          </w:p>
        </w:tc>
      </w:tr>
      <w:tr>
        <w:trPr>
          <w:gridAfter w:val="1"/>
          <w:wAfter w:w="10" w:type="dxa"/>
          <w:trHeight w:val="248"/>
        </w:trPr>
        <w:tc>
          <w:tcPr>
            <w:tcW w:w="719" w:type="dxa"/>
            <w:shd w:val="clear" w:color="auto" w:fill="1F497D" w:themeFill="text2"/>
          </w:tcPr>
          <w:p>
            <w:pPr>
              <w:jc w:val="right"/>
              <w:rPr>
                <w:rFonts w:ascii="Arial Narrow" w:eastAsia="Times New Roman" w:hAnsi="Arial Narrow" w:cs="Calibri"/>
                <w:color w:val="FFFFFF" w:themeColor="background1"/>
                <w:sz w:val="20"/>
                <w:szCs w:val="16"/>
              </w:rPr>
            </w:pPr>
          </w:p>
        </w:tc>
        <w:tc>
          <w:tcPr>
            <w:tcW w:w="719" w:type="dxa"/>
            <w:shd w:val="clear" w:color="auto" w:fill="1F497D" w:themeFill="text2"/>
            <w:noWrap/>
          </w:tcPr>
          <w:p>
            <w:pPr>
              <w:jc w:val="right"/>
              <w:rPr>
                <w:rFonts w:ascii="Arial Narrow" w:eastAsia="Times New Roman" w:hAnsi="Arial Narrow" w:cs="Calibri"/>
                <w:color w:val="FFFFFF" w:themeColor="background1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FFFFFF" w:themeColor="background1"/>
                <w:sz w:val="20"/>
                <w:szCs w:val="16"/>
              </w:rPr>
              <w:t>Jan</w:t>
            </w:r>
          </w:p>
        </w:tc>
        <w:tc>
          <w:tcPr>
            <w:tcW w:w="719" w:type="dxa"/>
            <w:shd w:val="clear" w:color="auto" w:fill="1F497D" w:themeFill="text2"/>
            <w:noWrap/>
          </w:tcPr>
          <w:p>
            <w:pPr>
              <w:jc w:val="right"/>
              <w:rPr>
                <w:rFonts w:ascii="Arial Narrow" w:eastAsia="Times New Roman" w:hAnsi="Arial Narrow" w:cs="Calibri"/>
                <w:color w:val="FFFFFF" w:themeColor="background1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FFFFFF" w:themeColor="background1"/>
                <w:sz w:val="20"/>
                <w:szCs w:val="16"/>
              </w:rPr>
              <w:t>Feb</w:t>
            </w:r>
          </w:p>
        </w:tc>
        <w:tc>
          <w:tcPr>
            <w:tcW w:w="719" w:type="dxa"/>
            <w:shd w:val="clear" w:color="auto" w:fill="1F497D" w:themeFill="text2"/>
            <w:noWrap/>
          </w:tcPr>
          <w:p>
            <w:pPr>
              <w:jc w:val="right"/>
              <w:rPr>
                <w:rFonts w:ascii="Arial Narrow" w:eastAsia="Times New Roman" w:hAnsi="Arial Narrow" w:cs="Calibri"/>
                <w:color w:val="FFFFFF" w:themeColor="background1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FFFFFF" w:themeColor="background1"/>
                <w:sz w:val="20"/>
                <w:szCs w:val="16"/>
              </w:rPr>
              <w:t>Mar</w:t>
            </w:r>
          </w:p>
        </w:tc>
        <w:tc>
          <w:tcPr>
            <w:tcW w:w="719" w:type="dxa"/>
            <w:shd w:val="clear" w:color="auto" w:fill="1F497D" w:themeFill="text2"/>
            <w:noWrap/>
          </w:tcPr>
          <w:p>
            <w:pPr>
              <w:jc w:val="right"/>
              <w:rPr>
                <w:rFonts w:ascii="Arial Narrow" w:eastAsia="Times New Roman" w:hAnsi="Arial Narrow" w:cs="Calibri"/>
                <w:color w:val="FFFFFF" w:themeColor="background1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FFFFFF" w:themeColor="background1"/>
                <w:sz w:val="20"/>
                <w:szCs w:val="16"/>
              </w:rPr>
              <w:t>Apr</w:t>
            </w:r>
          </w:p>
        </w:tc>
        <w:tc>
          <w:tcPr>
            <w:tcW w:w="719" w:type="dxa"/>
            <w:shd w:val="clear" w:color="auto" w:fill="1F497D" w:themeFill="text2"/>
            <w:noWrap/>
          </w:tcPr>
          <w:p>
            <w:pPr>
              <w:jc w:val="right"/>
              <w:rPr>
                <w:rFonts w:ascii="Arial Narrow" w:eastAsia="Times New Roman" w:hAnsi="Arial Narrow" w:cs="Calibri"/>
                <w:color w:val="FFFFFF" w:themeColor="background1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FFFFFF" w:themeColor="background1"/>
                <w:sz w:val="20"/>
                <w:szCs w:val="16"/>
              </w:rPr>
              <w:t>May</w:t>
            </w:r>
          </w:p>
        </w:tc>
        <w:tc>
          <w:tcPr>
            <w:tcW w:w="719" w:type="dxa"/>
            <w:shd w:val="clear" w:color="auto" w:fill="1F497D" w:themeFill="text2"/>
            <w:noWrap/>
          </w:tcPr>
          <w:p>
            <w:pPr>
              <w:jc w:val="right"/>
              <w:rPr>
                <w:rFonts w:ascii="Arial Narrow" w:eastAsia="Times New Roman" w:hAnsi="Arial Narrow" w:cs="Calibri"/>
                <w:color w:val="FFFFFF" w:themeColor="background1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FFFFFF" w:themeColor="background1"/>
                <w:sz w:val="20"/>
                <w:szCs w:val="16"/>
              </w:rPr>
              <w:t>Jun</w:t>
            </w:r>
          </w:p>
        </w:tc>
        <w:tc>
          <w:tcPr>
            <w:tcW w:w="719" w:type="dxa"/>
            <w:shd w:val="clear" w:color="auto" w:fill="1F497D" w:themeFill="text2"/>
            <w:noWrap/>
          </w:tcPr>
          <w:p>
            <w:pPr>
              <w:jc w:val="right"/>
              <w:rPr>
                <w:rFonts w:ascii="Arial Narrow" w:eastAsia="Times New Roman" w:hAnsi="Arial Narrow" w:cs="Calibri"/>
                <w:color w:val="FFFFFF" w:themeColor="background1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FFFFFF" w:themeColor="background1"/>
                <w:sz w:val="20"/>
                <w:szCs w:val="16"/>
              </w:rPr>
              <w:t>Jul</w:t>
            </w:r>
          </w:p>
        </w:tc>
        <w:tc>
          <w:tcPr>
            <w:tcW w:w="719" w:type="dxa"/>
            <w:shd w:val="clear" w:color="auto" w:fill="1F497D" w:themeFill="text2"/>
            <w:noWrap/>
          </w:tcPr>
          <w:p>
            <w:pPr>
              <w:jc w:val="right"/>
              <w:rPr>
                <w:rFonts w:ascii="Arial Narrow" w:eastAsia="Times New Roman" w:hAnsi="Arial Narrow" w:cs="Calibri"/>
                <w:color w:val="FFFFFF" w:themeColor="background1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FFFFFF" w:themeColor="background1"/>
                <w:sz w:val="20"/>
                <w:szCs w:val="16"/>
              </w:rPr>
              <w:t>Aug</w:t>
            </w:r>
          </w:p>
        </w:tc>
        <w:tc>
          <w:tcPr>
            <w:tcW w:w="719" w:type="dxa"/>
            <w:shd w:val="clear" w:color="auto" w:fill="1F497D" w:themeFill="text2"/>
            <w:noWrap/>
          </w:tcPr>
          <w:p>
            <w:pPr>
              <w:jc w:val="right"/>
              <w:rPr>
                <w:rFonts w:ascii="Arial Narrow" w:eastAsia="Times New Roman" w:hAnsi="Arial Narrow" w:cs="Calibri"/>
                <w:color w:val="FFFFFF" w:themeColor="background1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FFFFFF" w:themeColor="background1"/>
                <w:sz w:val="20"/>
                <w:szCs w:val="16"/>
              </w:rPr>
              <w:t>Sep</w:t>
            </w:r>
          </w:p>
        </w:tc>
        <w:tc>
          <w:tcPr>
            <w:tcW w:w="719" w:type="dxa"/>
            <w:shd w:val="clear" w:color="auto" w:fill="1F497D" w:themeFill="text2"/>
            <w:noWrap/>
          </w:tcPr>
          <w:p>
            <w:pPr>
              <w:jc w:val="right"/>
              <w:rPr>
                <w:rFonts w:ascii="Arial Narrow" w:eastAsia="Times New Roman" w:hAnsi="Arial Narrow" w:cs="Calibri"/>
                <w:color w:val="FFFFFF" w:themeColor="background1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FFFFFF" w:themeColor="background1"/>
                <w:sz w:val="20"/>
                <w:szCs w:val="16"/>
              </w:rPr>
              <w:t>Oct</w:t>
            </w:r>
          </w:p>
        </w:tc>
        <w:tc>
          <w:tcPr>
            <w:tcW w:w="719" w:type="dxa"/>
            <w:shd w:val="clear" w:color="auto" w:fill="1F497D" w:themeFill="text2"/>
            <w:noWrap/>
          </w:tcPr>
          <w:p>
            <w:pPr>
              <w:jc w:val="right"/>
              <w:rPr>
                <w:rFonts w:ascii="Arial Narrow" w:eastAsia="Times New Roman" w:hAnsi="Arial Narrow" w:cs="Calibri"/>
                <w:color w:val="FFFFFF" w:themeColor="background1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FFFFFF" w:themeColor="background1"/>
                <w:sz w:val="20"/>
                <w:szCs w:val="16"/>
              </w:rPr>
              <w:t>Nov</w:t>
            </w:r>
          </w:p>
        </w:tc>
        <w:tc>
          <w:tcPr>
            <w:tcW w:w="719" w:type="dxa"/>
            <w:shd w:val="clear" w:color="auto" w:fill="1F497D" w:themeFill="text2"/>
            <w:noWrap/>
          </w:tcPr>
          <w:p>
            <w:pPr>
              <w:jc w:val="right"/>
              <w:rPr>
                <w:rFonts w:ascii="Arial Narrow" w:eastAsia="Times New Roman" w:hAnsi="Arial Narrow" w:cs="Calibri"/>
                <w:color w:val="FFFFFF" w:themeColor="background1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FFFFFF" w:themeColor="background1"/>
                <w:sz w:val="20"/>
                <w:szCs w:val="16"/>
              </w:rPr>
              <w:t>Dec</w:t>
            </w:r>
          </w:p>
        </w:tc>
        <w:tc>
          <w:tcPr>
            <w:tcW w:w="719" w:type="dxa"/>
            <w:shd w:val="clear" w:color="auto" w:fill="1F497D" w:themeFill="text2"/>
            <w:noWrap/>
          </w:tcPr>
          <w:p>
            <w:pPr>
              <w:jc w:val="right"/>
              <w:rPr>
                <w:rFonts w:ascii="Arial Narrow" w:eastAsia="Times New Roman" w:hAnsi="Arial Narrow" w:cs="Calibri"/>
                <w:color w:val="FFFFFF" w:themeColor="background1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FFFFFF" w:themeColor="background1"/>
                <w:sz w:val="20"/>
                <w:szCs w:val="16"/>
              </w:rPr>
              <w:t>Avg.</w:t>
            </w:r>
          </w:p>
        </w:tc>
      </w:tr>
      <w:tr>
        <w:trPr>
          <w:gridAfter w:val="1"/>
          <w:wAfter w:w="10" w:type="dxa"/>
          <w:trHeight w:val="248"/>
        </w:trPr>
        <w:tc>
          <w:tcPr>
            <w:tcW w:w="719" w:type="dxa"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2023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48.51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43.06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30.41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26.38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21.08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26.73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44.35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40.06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45.73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38.49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36.78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42.64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37.00</w:t>
            </w:r>
          </w:p>
        </w:tc>
      </w:tr>
      <w:tr>
        <w:trPr>
          <w:gridAfter w:val="1"/>
          <w:wAfter w:w="10" w:type="dxa"/>
          <w:trHeight w:val="248"/>
        </w:trPr>
        <w:tc>
          <w:tcPr>
            <w:tcW w:w="719" w:type="dxa"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2024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39.63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34.62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28.06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25.48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18.80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25.90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41.99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39.52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43.83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37.21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37.83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42.11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34.60</w:t>
            </w:r>
          </w:p>
        </w:tc>
      </w:tr>
      <w:tr>
        <w:trPr>
          <w:gridAfter w:val="1"/>
          <w:wAfter w:w="10" w:type="dxa"/>
          <w:trHeight w:val="248"/>
        </w:trPr>
        <w:tc>
          <w:tcPr>
            <w:tcW w:w="719" w:type="dxa"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2025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36.53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35.25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28.43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25.91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18.10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25.72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43.40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39.52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45.69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39.52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38.58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44.07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35.07</w:t>
            </w:r>
          </w:p>
        </w:tc>
      </w:tr>
      <w:tr>
        <w:trPr>
          <w:gridAfter w:val="1"/>
          <w:wAfter w:w="10" w:type="dxa"/>
          <w:trHeight w:val="248"/>
        </w:trPr>
        <w:tc>
          <w:tcPr>
            <w:tcW w:w="719" w:type="dxa"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2026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40.56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37.51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28.65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26.60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19.30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27.72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48.36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43.13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48.76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42.21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40.09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47.36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37.54</w:t>
            </w:r>
          </w:p>
        </w:tc>
      </w:tr>
      <w:tr>
        <w:trPr>
          <w:gridAfter w:val="1"/>
          <w:wAfter w:w="10" w:type="dxa"/>
          <w:trHeight w:val="248"/>
        </w:trPr>
        <w:tc>
          <w:tcPr>
            <w:tcW w:w="719" w:type="dxa"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2027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44.76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43.26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33.36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29.87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20.67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32.23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54.24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48.89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54.25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46.43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45.05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50.92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42.00</w:t>
            </w:r>
          </w:p>
        </w:tc>
      </w:tr>
      <w:tr>
        <w:trPr>
          <w:gridAfter w:val="1"/>
          <w:wAfter w:w="10" w:type="dxa"/>
          <w:trHeight w:val="248"/>
        </w:trPr>
        <w:tc>
          <w:tcPr>
            <w:tcW w:w="719" w:type="dxa"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2028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48.81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43.09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33.96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30.33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22.08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32.79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55.96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51.51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54.65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47.06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46.28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54.19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43.42</w:t>
            </w:r>
          </w:p>
        </w:tc>
      </w:tr>
      <w:tr>
        <w:trPr>
          <w:gridAfter w:val="1"/>
          <w:wAfter w:w="10" w:type="dxa"/>
          <w:trHeight w:val="248"/>
        </w:trPr>
        <w:tc>
          <w:tcPr>
            <w:tcW w:w="719" w:type="dxa"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2029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47.16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41.67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31.04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29.90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21.21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30.97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56.35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53.98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59.35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49.82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47.93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53.70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43.62</w:t>
            </w:r>
          </w:p>
        </w:tc>
      </w:tr>
      <w:tr>
        <w:trPr>
          <w:gridAfter w:val="1"/>
          <w:wAfter w:w="10" w:type="dxa"/>
          <w:trHeight w:val="248"/>
        </w:trPr>
        <w:tc>
          <w:tcPr>
            <w:tcW w:w="719" w:type="dxa"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2030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47.25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41.25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28.86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27.96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21.28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30.19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57.33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53.89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58.43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49.54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47.17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53.66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43.11</w:t>
            </w:r>
          </w:p>
        </w:tc>
      </w:tr>
      <w:tr>
        <w:trPr>
          <w:gridAfter w:val="1"/>
          <w:wAfter w:w="10" w:type="dxa"/>
          <w:trHeight w:val="248"/>
        </w:trPr>
        <w:tc>
          <w:tcPr>
            <w:tcW w:w="719" w:type="dxa"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2031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43.73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41.48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28.51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30.42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18.73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30.98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58.78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54.89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59.99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50.06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47.64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54.63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43.35</w:t>
            </w:r>
          </w:p>
        </w:tc>
      </w:tr>
      <w:tr>
        <w:trPr>
          <w:gridAfter w:val="1"/>
          <w:wAfter w:w="10" w:type="dxa"/>
          <w:trHeight w:val="248"/>
        </w:trPr>
        <w:tc>
          <w:tcPr>
            <w:tcW w:w="719" w:type="dxa"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2032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45.70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40.25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27.30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27.92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17.50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32.21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59.80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56.79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63.91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51.87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48.94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56.06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44.05</w:t>
            </w:r>
          </w:p>
        </w:tc>
      </w:tr>
      <w:tr>
        <w:trPr>
          <w:gridAfter w:val="1"/>
          <w:wAfter w:w="10" w:type="dxa"/>
          <w:trHeight w:val="248"/>
        </w:trPr>
        <w:tc>
          <w:tcPr>
            <w:tcW w:w="719" w:type="dxa"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2033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45.97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42.63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28.01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27.41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17.08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33.43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66.18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62.35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62.92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54.36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50.75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61.17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46.08</w:t>
            </w:r>
          </w:p>
        </w:tc>
      </w:tr>
      <w:tr>
        <w:trPr>
          <w:gridAfter w:val="1"/>
          <w:wAfter w:w="10" w:type="dxa"/>
          <w:trHeight w:val="248"/>
        </w:trPr>
        <w:tc>
          <w:tcPr>
            <w:tcW w:w="719" w:type="dxa"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2034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44.72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39.55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29.17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29.93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18.57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34.77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69.13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60.31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65.16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57.12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52.61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60.22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46.84</w:t>
            </w:r>
          </w:p>
        </w:tc>
      </w:tr>
      <w:tr>
        <w:trPr>
          <w:gridAfter w:val="1"/>
          <w:wAfter w:w="10" w:type="dxa"/>
          <w:trHeight w:val="248"/>
        </w:trPr>
        <w:tc>
          <w:tcPr>
            <w:tcW w:w="719" w:type="dxa"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2035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48.13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42.67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29.00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29.97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18.76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32.11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73.47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67.31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74.18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59.98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54.95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63.40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49.57</w:t>
            </w:r>
          </w:p>
        </w:tc>
      </w:tr>
      <w:tr>
        <w:trPr>
          <w:gridAfter w:val="1"/>
          <w:wAfter w:w="10" w:type="dxa"/>
          <w:trHeight w:val="248"/>
        </w:trPr>
        <w:tc>
          <w:tcPr>
            <w:tcW w:w="719" w:type="dxa"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2036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51.27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40.68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27.93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28.88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17.96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33.34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78.64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69.53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74.86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58.73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53.78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64.03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50.05</w:t>
            </w:r>
          </w:p>
        </w:tc>
      </w:tr>
      <w:tr>
        <w:trPr>
          <w:gridAfter w:val="1"/>
          <w:wAfter w:w="10" w:type="dxa"/>
          <w:trHeight w:val="248"/>
        </w:trPr>
        <w:tc>
          <w:tcPr>
            <w:tcW w:w="719" w:type="dxa"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2037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47.53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43.33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31.94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29.07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15.61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34.48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80.66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72.61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79.31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59.44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55.46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66.95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51.45</w:t>
            </w:r>
          </w:p>
        </w:tc>
      </w:tr>
      <w:tr>
        <w:trPr>
          <w:gridAfter w:val="1"/>
          <w:wAfter w:w="10" w:type="dxa"/>
          <w:trHeight w:val="248"/>
        </w:trPr>
        <w:tc>
          <w:tcPr>
            <w:tcW w:w="719" w:type="dxa"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2038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48.74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39.85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27.70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28.54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16.53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34.02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84.20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70.73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80.97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63.14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56.52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70.80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51.93</w:t>
            </w:r>
          </w:p>
        </w:tc>
      </w:tr>
      <w:tr>
        <w:trPr>
          <w:gridAfter w:val="1"/>
          <w:wAfter w:w="10" w:type="dxa"/>
          <w:trHeight w:val="248"/>
        </w:trPr>
        <w:tc>
          <w:tcPr>
            <w:tcW w:w="719" w:type="dxa"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2039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51.29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43.69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28.06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28.31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16.45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39.28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86.83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74.81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80.62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62.83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59.70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71.77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53.74</w:t>
            </w:r>
          </w:p>
        </w:tc>
      </w:tr>
      <w:tr>
        <w:trPr>
          <w:gridAfter w:val="1"/>
          <w:wAfter w:w="10" w:type="dxa"/>
          <w:trHeight w:val="248"/>
        </w:trPr>
        <w:tc>
          <w:tcPr>
            <w:tcW w:w="719" w:type="dxa"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2040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49.87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40.71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29.20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28.94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18.16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40.70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89.73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75.98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82.77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66.41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56.38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73.33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54.45</w:t>
            </w:r>
          </w:p>
        </w:tc>
      </w:tr>
      <w:tr>
        <w:trPr>
          <w:gridAfter w:val="1"/>
          <w:wAfter w:w="10" w:type="dxa"/>
          <w:trHeight w:val="248"/>
        </w:trPr>
        <w:tc>
          <w:tcPr>
            <w:tcW w:w="719" w:type="dxa"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2041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58.79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45.67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28.21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29.94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14.90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35.20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92.56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83.56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89.62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66.93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63.05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75.47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57.11</w:t>
            </w:r>
          </w:p>
        </w:tc>
      </w:tr>
      <w:tr>
        <w:trPr>
          <w:gridAfter w:val="1"/>
          <w:wAfter w:w="10" w:type="dxa"/>
          <w:trHeight w:val="248"/>
        </w:trPr>
        <w:tc>
          <w:tcPr>
            <w:tcW w:w="719" w:type="dxa"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2042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59.15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44.92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26.89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29.51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14.59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38.35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101.79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92.74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91.72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66.90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61.39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81.39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59.27</w:t>
            </w:r>
          </w:p>
        </w:tc>
      </w:tr>
      <w:tr>
        <w:trPr>
          <w:gridAfter w:val="1"/>
          <w:wAfter w:w="10" w:type="dxa"/>
          <w:trHeight w:val="237"/>
        </w:trPr>
        <w:tc>
          <w:tcPr>
            <w:tcW w:w="719" w:type="dxa"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2043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59.81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44.28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30.51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28.65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15.73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42.72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107.66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89.90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96.07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67.15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64.72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84.67</w:t>
            </w:r>
          </w:p>
        </w:tc>
        <w:tc>
          <w:tcPr>
            <w:tcW w:w="719" w:type="dxa"/>
            <w:noWrap/>
            <w:hideMark/>
          </w:tcPr>
          <w:p>
            <w:pPr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16"/>
              </w:rPr>
              <w:t>61.16</w:t>
            </w:r>
          </w:p>
        </w:tc>
      </w:tr>
    </w:tbl>
    <w:p>
      <w:pPr>
        <w:pStyle w:val="TableTitle"/>
      </w:pPr>
      <w:bookmarkStart w:id="1" w:name="_GoBack"/>
      <w:bookmarkEnd w:id="1"/>
      <w:r>
        <w:t>IRP Progress Report forecast of Mid-C market prices</w:t>
      </w:r>
    </w:p>
    <w:p>
      <w:pPr>
        <w:pStyle w:val="TableTitle"/>
        <w:numPr>
          <w:ilvl w:val="0"/>
          <w:numId w:val="0"/>
        </w:numPr>
        <w:rPr>
          <w:i w:val="0"/>
        </w:rPr>
      </w:pPr>
    </w:p>
    <w:p>
      <w:pPr>
        <w:pStyle w:val="TableTitle"/>
        <w:numPr>
          <w:ilvl w:val="0"/>
          <w:numId w:val="0"/>
        </w:numPr>
        <w:rPr>
          <w:i w:val="0"/>
        </w:rPr>
      </w:pPr>
    </w:p>
    <w:p>
      <w:pPr>
        <w:pStyle w:val="TableTitle"/>
        <w:numPr>
          <w:ilvl w:val="0"/>
          <w:numId w:val="0"/>
        </w:numPr>
        <w:rPr>
          <w:i w:val="0"/>
        </w:rPr>
      </w:pPr>
    </w:p>
    <w:p>
      <w:pPr>
        <w:pStyle w:val="TableTitle"/>
      </w:pPr>
      <w:r>
        <w:lastRenderedPageBreak/>
        <w:t>2021 IRP forecast of avoided capacity cost</w:t>
      </w:r>
    </w:p>
    <w:tbl>
      <w:tblPr>
        <w:tblW w:w="7920" w:type="dxa"/>
        <w:tblInd w:w="-10" w:type="dxa"/>
        <w:tblLook w:val="04A0" w:firstRow="1" w:lastRow="0" w:firstColumn="1" w:lastColumn="0" w:noHBand="0" w:noVBand="1"/>
      </w:tblPr>
      <w:tblGrid>
        <w:gridCol w:w="1710"/>
        <w:gridCol w:w="2340"/>
        <w:gridCol w:w="1934"/>
        <w:gridCol w:w="1936"/>
      </w:tblGrid>
      <w:tr>
        <w:trPr>
          <w:trHeight w:hRule="exact" w:val="353"/>
        </w:trPr>
        <w:tc>
          <w:tcPr>
            <w:tcW w:w="79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365F91" w:themeFill="accent1" w:themeFillShade="BF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(Nominal $/kw-</w:t>
            </w:r>
            <w:proofErr w:type="spellStart"/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yr</w:t>
            </w:r>
            <w:proofErr w:type="spellEnd"/>
            <w:r>
              <w:rPr>
                <w:rFonts w:ascii="Arial" w:eastAsia="Times New Roman" w:hAnsi="Arial" w:cs="Arial"/>
                <w:color w:val="FFFFFF" w:themeColor="background1"/>
                <w:sz w:val="20"/>
                <w:szCs w:val="20"/>
              </w:rPr>
              <w:t>)</w:t>
            </w:r>
          </w:p>
        </w:tc>
      </w:tr>
      <w:tr>
        <w:trPr>
          <w:trHeight w:hRule="exact" w:val="52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Baseload resource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Wind resource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Solar resource</w:t>
            </w:r>
          </w:p>
        </w:tc>
      </w:tr>
      <w:tr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95.27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16.96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 3.81 </w:t>
            </w:r>
          </w:p>
        </w:tc>
      </w:tr>
      <w:tr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95.27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16.96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 3.81 </w:t>
            </w:r>
          </w:p>
        </w:tc>
      </w:tr>
      <w:tr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95.27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16.96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 3.81 </w:t>
            </w:r>
          </w:p>
        </w:tc>
      </w:tr>
      <w:tr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95.27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16.96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 3.81 </w:t>
            </w:r>
          </w:p>
        </w:tc>
      </w:tr>
      <w:tr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95.27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16.96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 3.81 </w:t>
            </w:r>
          </w:p>
        </w:tc>
      </w:tr>
      <w:tr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95.27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16.96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 3.81 </w:t>
            </w:r>
          </w:p>
        </w:tc>
      </w:tr>
      <w:tr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95.27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16.96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 3.81 </w:t>
            </w:r>
          </w:p>
        </w:tc>
      </w:tr>
      <w:tr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95.27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16.96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 3.81 </w:t>
            </w:r>
          </w:p>
        </w:tc>
      </w:tr>
      <w:tr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2030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95.27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16.96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 3.81 </w:t>
            </w:r>
          </w:p>
        </w:tc>
      </w:tr>
      <w:tr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2031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95.27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14.67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 3.43 </w:t>
            </w:r>
          </w:p>
        </w:tc>
      </w:tr>
      <w:tr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2032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95.27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14.67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 3.43 </w:t>
            </w:r>
          </w:p>
        </w:tc>
      </w:tr>
      <w:tr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2033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95.27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14.67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 3.43 </w:t>
            </w:r>
          </w:p>
        </w:tc>
      </w:tr>
      <w:tr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2034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95.27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14.67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 3.43 </w:t>
            </w:r>
          </w:p>
        </w:tc>
      </w:tr>
      <w:tr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2035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95.27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14.67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 3.43 </w:t>
            </w:r>
          </w:p>
        </w:tc>
      </w:tr>
      <w:tr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2036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95.27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14.67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 3.43 </w:t>
            </w:r>
          </w:p>
        </w:tc>
      </w:tr>
      <w:tr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2037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95.27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14.67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 3.43 </w:t>
            </w:r>
          </w:p>
        </w:tc>
      </w:tr>
      <w:tr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2038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95.27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14.67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 3.43 </w:t>
            </w:r>
          </w:p>
        </w:tc>
      </w:tr>
      <w:tr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95.27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14.67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 3.43 </w:t>
            </w:r>
          </w:p>
        </w:tc>
      </w:tr>
      <w:tr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2040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95.27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14.67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 3.43 </w:t>
            </w:r>
          </w:p>
        </w:tc>
      </w:tr>
      <w:tr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2041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95.27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14.67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 3.43 </w:t>
            </w:r>
          </w:p>
        </w:tc>
      </w:tr>
      <w:tr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2042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95.27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14.67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 3.43 </w:t>
            </w:r>
          </w:p>
        </w:tc>
      </w:tr>
      <w:tr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2043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95.27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14.67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 3.43 </w:t>
            </w:r>
          </w:p>
        </w:tc>
      </w:tr>
      <w:tr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2044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95.27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14.67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 3.43 </w:t>
            </w:r>
          </w:p>
        </w:tc>
      </w:tr>
      <w:tr>
        <w:trPr>
          <w:trHeight w:val="315"/>
        </w:trPr>
        <w:tc>
          <w:tcPr>
            <w:tcW w:w="1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2045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95.27 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14.67 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$    3.43 </w:t>
            </w:r>
          </w:p>
        </w:tc>
      </w:tr>
    </w:tbl>
    <w:p>
      <w:pPr>
        <w:pStyle w:val="BodyText"/>
      </w:pPr>
    </w:p>
    <w:sectPr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tabs>
        <w:tab w:val="clear" w:pos="4680"/>
      </w:tabs>
      <w:jc w:val="center"/>
    </w:pPr>
    <w:sdt>
      <w:sdtPr>
        <w:id w:val="-396276915"/>
        <w:docPartObj>
          <w:docPartGallery w:val="Page Numbers (Bottom of Page)"/>
          <w:docPartUnique/>
        </w:docPartObj>
      </w:sdtPr>
      <w:sdtContent>
        <w:r>
          <w:rPr>
            <w:i/>
          </w:rPr>
          <w:t>- E-</w:t>
        </w:r>
        <w:r>
          <w:rPr>
            <w:i/>
          </w:rPr>
          <w:fldChar w:fldCharType="begin"/>
        </w:r>
        <w:r>
          <w:rPr>
            <w:i/>
          </w:rPr>
          <w:instrText xml:space="preserve"> PAGE   \* MERGEFORMAT </w:instrText>
        </w:r>
        <w:r>
          <w:rPr>
            <w:i/>
          </w:rPr>
          <w:fldChar w:fldCharType="separate"/>
        </w:r>
        <w:r>
          <w:rPr>
            <w:i/>
            <w:noProof/>
          </w:rPr>
          <w:t>2</w:t>
        </w:r>
        <w:r>
          <w:rPr>
            <w:i/>
          </w:rPr>
          <w:fldChar w:fldCharType="end"/>
        </w:r>
        <w:r>
          <w:rPr>
            <w:i/>
          </w:rPr>
          <w:t xml:space="preserve"> -</w:t>
        </w:r>
      </w:sdtContent>
    </w:sdt>
  </w:p>
  <w:p>
    <w:pPr>
      <w:pStyle w:val="Footer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  <w:jc w:val="right"/>
      <w:rPr>
        <w:color w:val="4F81BD" w:themeColor="accent1"/>
      </w:rPr>
    </w:pPr>
  </w:p>
  <w:p>
    <w:pPr>
      <w:pStyle w:val="Header"/>
      <w:jc w:val="right"/>
      <w:rPr>
        <w:color w:val="4F81BD" w:themeColor="accent1"/>
      </w:rPr>
    </w:pPr>
  </w:p>
  <w:p>
    <w:pPr>
      <w:pStyle w:val="Header"/>
      <w:jc w:val="right"/>
      <w:rPr>
        <w:color w:val="4F81BD" w:themeColor="accent1"/>
      </w:rPr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posOffset>0</wp:posOffset>
              </wp:positionH>
              <wp:positionV relativeFrom="page">
                <wp:posOffset>438150</wp:posOffset>
              </wp:positionV>
              <wp:extent cx="5943600" cy="428625"/>
              <wp:effectExtent l="0" t="0" r="19050" b="2857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4286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25400" cap="flat" cmpd="sng" algn="ctr">
                        <a:solidFill>
                          <a:schemeClr val="bg1">
                            <a:lumMod val="95000"/>
                          </a:schemeClr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12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EXHIBIT E. SCHEDULE OF ESTIMATED AVOIDED COST</w:t>
                          </w:r>
                        </w:p>
                        <w:p>
                          <w:pPr>
                            <w:jc w:val="center"/>
                          </w:pPr>
                        </w:p>
                      </w:txbxContent>
                    </wps:txbx>
                    <wps:bodyPr rtlCol="0" anchor="ctr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id="Rectangle 6" o:spid="_x0000_s1026" style="position:absolute;left:0;text-align:left;margin-left:0;margin-top:34.5pt;width:468pt;height:33.75pt;z-index:251667456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100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" fillcolor="#f2f2f2 [3052]" strokecolor="#f2f2f2 [3052]" strokeweight="2pt">
              <v:textbox>
                <w:txbxContent>
                  <w:p>
                    <w:pPr>
                      <w:spacing w:before="12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EXHIBIT E. SCHEDULE OF ESTIMATED AVOIDED COST</w:t>
                    </w:r>
                  </w:p>
                  <w:p>
                    <w:pPr>
                      <w:jc w:val="center"/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align>top</wp:align>
              </wp:positionV>
              <wp:extent cx="5943600" cy="428625"/>
              <wp:effectExtent l="0" t="0" r="0" b="9525"/>
              <wp:wrapNone/>
              <wp:docPr id="7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42862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>
                          <w:pPr>
                            <w:spacing w:before="180" w:after="8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2023 Distributed Solar and Storage Resources RFP</w:t>
                          </w:r>
                        </w:p>
                        <w:p>
                          <w:pPr>
                            <w:spacing w:before="180" w:after="80"/>
                            <w:jc w:val="center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tlCol="0" anchor="ctr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id="Rectangle 4" o:spid="_x0000_s1027" style="position:absolute;left:0;text-align:left;margin-left:0;margin-top:0;width:468pt;height:33.75pt;z-index:251666432;visibility:visible;mso-wrap-style:square;mso-width-percent:1000;mso-height-percent:0;mso-wrap-distance-left:9pt;mso-wrap-distance-top:0;mso-wrap-distance-right:9pt;mso-wrap-distance-bottom:0;mso-position-horizontal:center;mso-position-horizontal-relative:margin;mso-position-vertical:top;mso-position-vertical-relative:page;mso-width-percent:100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" fillcolor="#1f497d [3215]" stroked="f" strokeweight="2pt">
              <v:textbox>
                <w:txbxContent>
                  <w:p>
                    <w:pPr>
                      <w:spacing w:before="180" w:after="8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2023 Distributed Solar and Storage Resources RFP</w:t>
                    </w:r>
                  </w:p>
                  <w:p>
                    <w:pPr>
                      <w:spacing w:before="180" w:after="80"/>
                      <w:jc w:val="center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</w:p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34FAB"/>
    <w:multiLevelType w:val="hybridMultilevel"/>
    <w:tmpl w:val="19949414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755B43"/>
    <w:multiLevelType w:val="hybridMultilevel"/>
    <w:tmpl w:val="E266E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D3E47"/>
    <w:multiLevelType w:val="hybridMultilevel"/>
    <w:tmpl w:val="BF441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27D19"/>
    <w:multiLevelType w:val="hybridMultilevel"/>
    <w:tmpl w:val="FCF86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01F40"/>
    <w:multiLevelType w:val="hybridMultilevel"/>
    <w:tmpl w:val="230872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B43FD"/>
    <w:multiLevelType w:val="hybridMultilevel"/>
    <w:tmpl w:val="6C8A6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9151C"/>
    <w:multiLevelType w:val="hybridMultilevel"/>
    <w:tmpl w:val="98D215D0"/>
    <w:lvl w:ilvl="0" w:tplc="45FE782C">
      <w:start w:val="1"/>
      <w:numFmt w:val="decimal"/>
      <w:pStyle w:val="TableTitle"/>
      <w:lvlText w:val="Table 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365F91" w:themeColor="accent1" w:themeShade="BF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7" w15:restartNumberingAfterBreak="0">
    <w:nsid w:val="11B15CD4"/>
    <w:multiLevelType w:val="hybridMultilevel"/>
    <w:tmpl w:val="EE829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4616F"/>
    <w:multiLevelType w:val="hybridMultilevel"/>
    <w:tmpl w:val="50ECE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9442C"/>
    <w:multiLevelType w:val="hybridMultilevel"/>
    <w:tmpl w:val="2CAADB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696346"/>
    <w:multiLevelType w:val="hybridMultilevel"/>
    <w:tmpl w:val="8B2A3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E18C4"/>
    <w:multiLevelType w:val="hybridMultilevel"/>
    <w:tmpl w:val="A31C1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765D7"/>
    <w:multiLevelType w:val="hybridMultilevel"/>
    <w:tmpl w:val="65340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A433B8"/>
    <w:multiLevelType w:val="hybridMultilevel"/>
    <w:tmpl w:val="BB3A26C0"/>
    <w:lvl w:ilvl="0" w:tplc="D66EEFB8">
      <w:start w:val="1"/>
      <w:numFmt w:val="bullet"/>
      <w:pStyle w:val="Body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D0365E"/>
    <w:multiLevelType w:val="hybridMultilevel"/>
    <w:tmpl w:val="EC3C7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6B1669"/>
    <w:multiLevelType w:val="hybridMultilevel"/>
    <w:tmpl w:val="023E57D8"/>
    <w:lvl w:ilvl="0" w:tplc="41AE2B70">
      <w:start w:val="1"/>
      <w:numFmt w:val="bullet"/>
      <w:pStyle w:val="IRP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3A14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F8813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0C9F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22E5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14468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7E5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3866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69CF9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271876DF"/>
    <w:multiLevelType w:val="hybridMultilevel"/>
    <w:tmpl w:val="9BA2FD32"/>
    <w:lvl w:ilvl="0" w:tplc="C4545E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B2293"/>
    <w:multiLevelType w:val="hybridMultilevel"/>
    <w:tmpl w:val="11703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43192"/>
    <w:multiLevelType w:val="hybridMultilevel"/>
    <w:tmpl w:val="DE8E7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664370"/>
    <w:multiLevelType w:val="hybridMultilevel"/>
    <w:tmpl w:val="AB405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AD53A8"/>
    <w:multiLevelType w:val="hybridMultilevel"/>
    <w:tmpl w:val="29B09F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8E7019"/>
    <w:multiLevelType w:val="hybridMultilevel"/>
    <w:tmpl w:val="468CC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102E12"/>
    <w:multiLevelType w:val="hybridMultilevel"/>
    <w:tmpl w:val="FF145A10"/>
    <w:lvl w:ilvl="0" w:tplc="A816E06A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E55B37"/>
    <w:multiLevelType w:val="hybridMultilevel"/>
    <w:tmpl w:val="1046A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956A6C"/>
    <w:multiLevelType w:val="hybridMultilevel"/>
    <w:tmpl w:val="D8F6D88C"/>
    <w:lvl w:ilvl="0" w:tplc="EB3AAF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69438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F086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B672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DCEF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02204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C4A8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D4AC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E8250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7D04C0"/>
    <w:multiLevelType w:val="hybridMultilevel"/>
    <w:tmpl w:val="E3444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E1E92"/>
    <w:multiLevelType w:val="hybridMultilevel"/>
    <w:tmpl w:val="1674D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E2C06"/>
    <w:multiLevelType w:val="hybridMultilevel"/>
    <w:tmpl w:val="32204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9D2AB0"/>
    <w:multiLevelType w:val="hybridMultilevel"/>
    <w:tmpl w:val="75E8C11C"/>
    <w:lvl w:ilvl="0" w:tplc="CE7C10FA">
      <w:start w:val="1"/>
      <w:numFmt w:val="bullet"/>
      <w:pStyle w:val="TableBody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D61C70"/>
    <w:multiLevelType w:val="hybridMultilevel"/>
    <w:tmpl w:val="298650DA"/>
    <w:lvl w:ilvl="0" w:tplc="3E1E616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E847F7"/>
    <w:multiLevelType w:val="hybridMultilevel"/>
    <w:tmpl w:val="030891DA"/>
    <w:lvl w:ilvl="0" w:tplc="04E897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604503"/>
    <w:multiLevelType w:val="hybridMultilevel"/>
    <w:tmpl w:val="85A0E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C0230A"/>
    <w:multiLevelType w:val="hybridMultilevel"/>
    <w:tmpl w:val="CF28C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0A723B"/>
    <w:multiLevelType w:val="hybridMultilevel"/>
    <w:tmpl w:val="6F88468E"/>
    <w:lvl w:ilvl="0" w:tplc="25B873E8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B2B5145"/>
    <w:multiLevelType w:val="hybridMultilevel"/>
    <w:tmpl w:val="76DEB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831D51"/>
    <w:multiLevelType w:val="hybridMultilevel"/>
    <w:tmpl w:val="E9F06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A80CFE"/>
    <w:multiLevelType w:val="hybridMultilevel"/>
    <w:tmpl w:val="42BA2408"/>
    <w:lvl w:ilvl="0" w:tplc="04E897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A9418C"/>
    <w:multiLevelType w:val="hybridMultilevel"/>
    <w:tmpl w:val="B3206A7A"/>
    <w:lvl w:ilvl="0" w:tplc="FA8A49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4202A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63CAD2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8BC49B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1A6336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C48E44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1129CB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59ADF9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5CC8F77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33119F2"/>
    <w:multiLevelType w:val="hybridMultilevel"/>
    <w:tmpl w:val="28A6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AD2401"/>
    <w:multiLevelType w:val="hybridMultilevel"/>
    <w:tmpl w:val="E784671A"/>
    <w:lvl w:ilvl="0" w:tplc="7FB0F7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E1684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4CE9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9010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08A4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7853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58A8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36EE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41A3E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4D4FB3"/>
    <w:multiLevelType w:val="hybridMultilevel"/>
    <w:tmpl w:val="259648C2"/>
    <w:lvl w:ilvl="0" w:tplc="4DA42552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A591D8C"/>
    <w:multiLevelType w:val="hybridMultilevel"/>
    <w:tmpl w:val="8040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5C7EF0"/>
    <w:multiLevelType w:val="hybridMultilevel"/>
    <w:tmpl w:val="C4883220"/>
    <w:lvl w:ilvl="0" w:tplc="3E1E616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946053"/>
    <w:multiLevelType w:val="hybridMultilevel"/>
    <w:tmpl w:val="3BC8D2AA"/>
    <w:lvl w:ilvl="0" w:tplc="3CC8112A">
      <w:start w:val="1"/>
      <w:numFmt w:val="decimal"/>
      <w:lvlText w:val="Table %1."/>
      <w:lvlJc w:val="left"/>
      <w:pPr>
        <w:ind w:left="720" w:hanging="360"/>
      </w:pPr>
      <w:rPr>
        <w:rFonts w:ascii="Cambria" w:hAnsi="Cambria" w:hint="default"/>
        <w:b/>
        <w:i/>
        <w:color w:val="365F91" w:themeColor="accent1" w:themeShade="B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8B3FB7"/>
    <w:multiLevelType w:val="hybridMultilevel"/>
    <w:tmpl w:val="3E361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29624E"/>
    <w:multiLevelType w:val="hybridMultilevel"/>
    <w:tmpl w:val="C91A745E"/>
    <w:lvl w:ilvl="0" w:tplc="95240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44"/>
  </w:num>
  <w:num w:numId="3">
    <w:abstractNumId w:val="17"/>
  </w:num>
  <w:num w:numId="4">
    <w:abstractNumId w:val="21"/>
  </w:num>
  <w:num w:numId="5">
    <w:abstractNumId w:val="7"/>
  </w:num>
  <w:num w:numId="6">
    <w:abstractNumId w:val="35"/>
  </w:num>
  <w:num w:numId="7">
    <w:abstractNumId w:val="31"/>
  </w:num>
  <w:num w:numId="8">
    <w:abstractNumId w:val="26"/>
  </w:num>
  <w:num w:numId="9">
    <w:abstractNumId w:val="45"/>
  </w:num>
  <w:num w:numId="10">
    <w:abstractNumId w:val="4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36"/>
  </w:num>
  <w:num w:numId="13">
    <w:abstractNumId w:val="28"/>
  </w:num>
  <w:num w:numId="14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1"/>
  </w:num>
  <w:num w:numId="17">
    <w:abstractNumId w:val="4"/>
  </w:num>
  <w:num w:numId="18">
    <w:abstractNumId w:val="2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5"/>
    <w:lvlOverride w:ilvl="0">
      <w:startOverride w:val="6"/>
    </w:lvlOverride>
  </w:num>
  <w:num w:numId="20">
    <w:abstractNumId w:val="3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8"/>
  </w:num>
  <w:num w:numId="24">
    <w:abstractNumId w:val="23"/>
  </w:num>
  <w:num w:numId="25">
    <w:abstractNumId w:val="10"/>
  </w:num>
  <w:num w:numId="26">
    <w:abstractNumId w:val="12"/>
  </w:num>
  <w:num w:numId="27">
    <w:abstractNumId w:val="3"/>
  </w:num>
  <w:num w:numId="28">
    <w:abstractNumId w:val="38"/>
  </w:num>
  <w:num w:numId="29">
    <w:abstractNumId w:val="2"/>
  </w:num>
  <w:num w:numId="30">
    <w:abstractNumId w:val="33"/>
  </w:num>
  <w:num w:numId="31">
    <w:abstractNumId w:val="20"/>
  </w:num>
  <w:num w:numId="32">
    <w:abstractNumId w:val="6"/>
  </w:num>
  <w:num w:numId="33">
    <w:abstractNumId w:val="43"/>
  </w:num>
  <w:num w:numId="34">
    <w:abstractNumId w:val="14"/>
  </w:num>
  <w:num w:numId="35">
    <w:abstractNumId w:val="32"/>
  </w:num>
  <w:num w:numId="36">
    <w:abstractNumId w:val="8"/>
  </w:num>
  <w:num w:numId="37">
    <w:abstractNumId w:val="27"/>
  </w:num>
  <w:num w:numId="38">
    <w:abstractNumId w:val="15"/>
  </w:num>
  <w:num w:numId="39">
    <w:abstractNumId w:val="1"/>
  </w:num>
  <w:num w:numId="40">
    <w:abstractNumId w:val="6"/>
    <w:lvlOverride w:ilvl="0">
      <w:startOverride w:val="1"/>
    </w:lvlOverride>
  </w:num>
  <w:num w:numId="41">
    <w:abstractNumId w:val="24"/>
  </w:num>
  <w:num w:numId="42">
    <w:abstractNumId w:val="0"/>
  </w:num>
  <w:num w:numId="43">
    <w:abstractNumId w:val="13"/>
  </w:num>
  <w:num w:numId="44">
    <w:abstractNumId w:val="39"/>
  </w:num>
  <w:num w:numId="45">
    <w:abstractNumId w:val="37"/>
  </w:num>
  <w:num w:numId="46">
    <w:abstractNumId w:val="16"/>
  </w:num>
  <w:num w:numId="47">
    <w:abstractNumId w:val="25"/>
  </w:num>
  <w:num w:numId="48">
    <w:abstractNumId w:val="19"/>
  </w:num>
  <w:num w:numId="49">
    <w:abstractNumId w:val="29"/>
  </w:num>
  <w:num w:numId="50">
    <w:abstractNumId w:val="40"/>
  </w:num>
  <w:num w:numId="51">
    <w:abstractNumId w:val="42"/>
  </w:num>
  <w:num w:numId="52">
    <w:abstractNumId w:val="3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03FB4A43-3BDF-4283-BDF8-E1C2024DF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Subhead2">
    <w:name w:val="Subhead2"/>
    <w:basedOn w:val="ListParagraph"/>
    <w:link w:val="Subhead2Char"/>
    <w:qFormat/>
    <w:pPr>
      <w:spacing w:before="360" w:after="240"/>
      <w:ind w:left="0"/>
    </w:pPr>
    <w:rPr>
      <w:b/>
      <w:color w:val="808080" w:themeColor="background1" w:themeShade="80"/>
      <w:sz w:val="26"/>
      <w:szCs w:val="26"/>
    </w:rPr>
  </w:style>
  <w:style w:type="paragraph" w:customStyle="1" w:styleId="Subhead1">
    <w:name w:val="Subhead1"/>
    <w:basedOn w:val="ListParagraph"/>
    <w:link w:val="Subhead1Char"/>
    <w:qFormat/>
    <w:pPr>
      <w:spacing w:before="480" w:after="360"/>
      <w:ind w:left="360"/>
    </w:pPr>
    <w:rPr>
      <w:rFonts w:asciiTheme="majorHAnsi" w:hAnsiTheme="majorHAnsi"/>
      <w:b/>
      <w:i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</w:style>
  <w:style w:type="character" w:customStyle="1" w:styleId="Subhead1Char">
    <w:name w:val="Subhead1 Char"/>
    <w:basedOn w:val="ListParagraphChar"/>
    <w:link w:val="Subhead1"/>
    <w:rPr>
      <w:rFonts w:asciiTheme="majorHAnsi" w:hAnsiTheme="majorHAnsi"/>
      <w:b/>
      <w:i/>
      <w:color w:val="365F91" w:themeColor="accent1" w:themeShade="BF"/>
      <w:sz w:val="28"/>
      <w:szCs w:val="28"/>
    </w:rPr>
  </w:style>
  <w:style w:type="character" w:customStyle="1" w:styleId="Subhead2Char">
    <w:name w:val="Subhead2 Char"/>
    <w:basedOn w:val="ListParagraphChar"/>
    <w:link w:val="Subhead2"/>
    <w:rPr>
      <w:b/>
      <w:color w:val="808080" w:themeColor="background1" w:themeShade="80"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aliases w:val="Page#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aliases w:val="Page# Char"/>
    <w:basedOn w:val="DefaultParagraphFont"/>
    <w:link w:val="Footer"/>
    <w:uiPriority w:val="99"/>
  </w:style>
  <w:style w:type="paragraph" w:customStyle="1" w:styleId="B7A3AA4F82F84F2E8D122C3B6DBBE8C9">
    <w:name w:val="B7A3AA4F82F84F2E8D122C3B6DBBE8C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BodyText0"/>
    <w:link w:val="BodyTextChar"/>
    <w:qFormat/>
    <w:pPr>
      <w:spacing w:before="120" w:after="240" w:line="240" w:lineRule="auto"/>
      <w:jc w:val="both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locked/>
    <w:rPr>
      <w:rFonts w:ascii="Calibri" w:hAnsi="Calibri"/>
    </w:rPr>
  </w:style>
  <w:style w:type="character" w:customStyle="1" w:styleId="BodyTextChar">
    <w:name w:val="BodyText Char"/>
    <w:basedOn w:val="Subhead2Char"/>
    <w:link w:val="BodyText"/>
    <w:rPr>
      <w:b w:val="0"/>
      <w:color w:val="808080" w:themeColor="background1" w:themeShade="80"/>
      <w:sz w:val="24"/>
      <w:szCs w:val="24"/>
    </w:rPr>
  </w:style>
  <w:style w:type="paragraph" w:styleId="CommentText">
    <w:name w:val="annotation text"/>
    <w:basedOn w:val="Normal"/>
    <w:link w:val="CommentTextChar"/>
    <w:semiHidden/>
    <w:pPr>
      <w:spacing w:line="240" w:lineRule="auto"/>
    </w:pPr>
    <w:rPr>
      <w:rFonts w:ascii="Calibri" w:hAnsi="Calibri"/>
    </w:rPr>
  </w:style>
  <w:style w:type="character" w:customStyle="1" w:styleId="CommentTextChar1">
    <w:name w:val="Comment Text Char1"/>
    <w:basedOn w:val="DefaultParagraphFon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semiHidden/>
    <w:rPr>
      <w:rFonts w:ascii="Times New Roman" w:hAnsi="Times New Roman" w:cs="Times New Roman" w:hint="default"/>
      <w:sz w:val="16"/>
      <w:szCs w:val="16"/>
    </w:rPr>
  </w:style>
  <w:style w:type="paragraph" w:customStyle="1" w:styleId="TableBodyBullets">
    <w:name w:val="TableBodyBullets"/>
    <w:link w:val="TableBodyBulletsChar"/>
    <w:qFormat/>
    <w:pPr>
      <w:numPr>
        <w:numId w:val="13"/>
      </w:numPr>
      <w:spacing w:before="40" w:after="40" w:line="240" w:lineRule="auto"/>
    </w:pPr>
    <w:rPr>
      <w:sz w:val="24"/>
      <w:szCs w:val="24"/>
    </w:rPr>
  </w:style>
  <w:style w:type="paragraph" w:customStyle="1" w:styleId="SidebarBodyText">
    <w:name w:val="Sidebar Body Text"/>
    <w:basedOn w:val="Normal"/>
    <w:link w:val="SidebarBodyTextChar"/>
    <w:qFormat/>
    <w:pPr>
      <w:spacing w:after="120"/>
    </w:pPr>
    <w:rPr>
      <w:color w:val="808080" w:themeColor="background1" w:themeShade="80"/>
      <w:sz w:val="24"/>
    </w:rPr>
  </w:style>
  <w:style w:type="character" w:customStyle="1" w:styleId="TableBodyBulletsChar">
    <w:name w:val="TableBodyBullets Char"/>
    <w:basedOn w:val="BodyTextChar"/>
    <w:link w:val="TableBodyBullets"/>
    <w:rPr>
      <w:b w:val="0"/>
      <w:color w:val="808080" w:themeColor="background1" w:themeShade="80"/>
      <w:sz w:val="24"/>
      <w:szCs w:val="24"/>
    </w:rPr>
  </w:style>
  <w:style w:type="paragraph" w:customStyle="1" w:styleId="CalloutBoxTitles">
    <w:name w:val="Callout Box Titles"/>
    <w:basedOn w:val="Normal"/>
    <w:link w:val="CalloutBoxTitlesChar"/>
    <w:qFormat/>
    <w:pPr>
      <w:spacing w:after="120"/>
      <w:jc w:val="center"/>
    </w:pPr>
    <w:rPr>
      <w:rFonts w:ascii="Cambria" w:hAnsi="Cambria"/>
      <w:iCs/>
      <w:color w:val="365F91" w:themeColor="accent1" w:themeShade="BF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TextEmphasis">
    <w:name w:val="BodyTextEmphasis"/>
    <w:link w:val="BodyTextEmphasisChar"/>
    <w:qFormat/>
    <w:pPr>
      <w:spacing w:after="120"/>
    </w:pPr>
    <w:rPr>
      <w:b/>
      <w:i/>
      <w:color w:val="000000" w:themeColor="text1"/>
      <w:sz w:val="24"/>
      <w:szCs w:val="24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EmphasisChar">
    <w:name w:val="BodyTextEmphasis Char"/>
    <w:basedOn w:val="BodyTextChar"/>
    <w:link w:val="BodyTextEmphasis"/>
    <w:rPr>
      <w:b/>
      <w:i/>
      <w:color w:val="000000" w:themeColor="text1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customStyle="1" w:styleId="BodyTextMinEmphasis">
    <w:name w:val="BodyTextMinEmphasis"/>
    <w:next w:val="BodyText"/>
    <w:link w:val="BodyTextMinEmphasisChar"/>
    <w:pPr>
      <w:spacing w:before="120" w:line="360" w:lineRule="auto"/>
    </w:pPr>
    <w:rPr>
      <w:i/>
      <w:sz w:val="24"/>
      <w:szCs w:val="24"/>
    </w:rPr>
  </w:style>
  <w:style w:type="character" w:customStyle="1" w:styleId="BodyTextMinEmphasisChar">
    <w:name w:val="BodyTextMinEmphasis Char"/>
    <w:basedOn w:val="BodyTextChar"/>
    <w:link w:val="BodyTextMinEmphasis"/>
    <w:rPr>
      <w:b w:val="0"/>
      <w:i/>
      <w:color w:val="808080" w:themeColor="background1" w:themeShade="80"/>
      <w:sz w:val="24"/>
      <w:szCs w:val="24"/>
    </w:rPr>
  </w:style>
  <w:style w:type="paragraph" w:customStyle="1" w:styleId="BodyBulletsEmphasis">
    <w:name w:val="BodyBulletsEmphasis"/>
    <w:basedOn w:val="TableBodyBullets"/>
    <w:link w:val="BodyBulletsEmphasisChar"/>
    <w:autoRedefine/>
    <w:qFormat/>
    <w:rPr>
      <w:b/>
      <w:i/>
      <w:color w:val="000000" w:themeColor="text1"/>
    </w:rPr>
  </w:style>
  <w:style w:type="character" w:customStyle="1" w:styleId="BodyBulletsEmphasisChar">
    <w:name w:val="BodyBulletsEmphasis Char"/>
    <w:basedOn w:val="TableBodyBulletsChar"/>
    <w:link w:val="BodyBulletsEmphasis"/>
    <w:rPr>
      <w:b w:val="0"/>
      <w:i/>
      <w:color w:val="000000" w:themeColor="text1"/>
      <w:sz w:val="24"/>
      <w:szCs w:val="24"/>
    </w:rPr>
  </w:style>
  <w:style w:type="paragraph" w:styleId="BodyText0">
    <w:name w:val="Body Text"/>
    <w:basedOn w:val="Normal"/>
    <w:link w:val="BodyTextChar0"/>
    <w:uiPriority w:val="99"/>
    <w:semiHidden/>
    <w:unhideWhenUsed/>
    <w:pPr>
      <w:spacing w:after="120"/>
    </w:pPr>
  </w:style>
  <w:style w:type="character" w:customStyle="1" w:styleId="BodyTextChar0">
    <w:name w:val="Body Text Char"/>
    <w:basedOn w:val="DefaultParagraphFont"/>
    <w:link w:val="BodyText0"/>
    <w:uiPriority w:val="99"/>
    <w:semiHidden/>
  </w:style>
  <w:style w:type="paragraph" w:styleId="TOCHeading">
    <w:name w:val="TOC Heading"/>
    <w:basedOn w:val="Heading1"/>
    <w:next w:val="Normal"/>
    <w:uiPriority w:val="39"/>
    <w:unhideWhenUsed/>
    <w:qFormat/>
    <w:pPr>
      <w:spacing w:after="360"/>
      <w:outlineLvl w:val="9"/>
    </w:pPr>
    <w:rPr>
      <w:lang w:eastAsia="ja-JP"/>
    </w:rPr>
  </w:style>
  <w:style w:type="paragraph" w:styleId="TOC2">
    <w:name w:val="toc 2"/>
    <w:basedOn w:val="BodyText"/>
    <w:next w:val="Normal"/>
    <w:autoRedefine/>
    <w:uiPriority w:val="39"/>
    <w:unhideWhenUsed/>
    <w:qFormat/>
    <w:pPr>
      <w:tabs>
        <w:tab w:val="right" w:leader="dot" w:pos="9000"/>
        <w:tab w:val="left" w:pos="9360"/>
      </w:tabs>
      <w:spacing w:after="100"/>
      <w:ind w:left="360"/>
    </w:pPr>
    <w:rPr>
      <w:rFonts w:eastAsiaTheme="minorEastAsia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pPr>
      <w:spacing w:after="100"/>
    </w:pPr>
    <w:rPr>
      <w:rFonts w:asciiTheme="majorHAnsi" w:eastAsiaTheme="minorEastAsia" w:hAnsiTheme="majorHAnsi"/>
      <w:b/>
      <w:color w:val="365F91" w:themeColor="accent1" w:themeShade="BF"/>
      <w:sz w:val="24"/>
      <w:lang w:eastAsia="ja-JP"/>
    </w:rPr>
  </w:style>
  <w:style w:type="paragraph" w:styleId="TOC3">
    <w:name w:val="toc 3"/>
    <w:basedOn w:val="BodyTextMinEmphasis"/>
    <w:next w:val="Normal"/>
    <w:autoRedefine/>
    <w:uiPriority w:val="39"/>
    <w:semiHidden/>
    <w:unhideWhenUsed/>
    <w:qFormat/>
    <w:pPr>
      <w:spacing w:after="100"/>
      <w:ind w:left="440"/>
    </w:pPr>
    <w:rPr>
      <w:rFonts w:eastAsiaTheme="minorEastAsia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ExhibitsListSubhead1">
    <w:name w:val="ExhibitsListSubhead1"/>
    <w:basedOn w:val="BodyText"/>
    <w:link w:val="ExhibitsListSubhead1Char"/>
    <w:qFormat/>
    <w:pPr>
      <w:tabs>
        <w:tab w:val="left" w:pos="0"/>
        <w:tab w:val="right" w:leader="dot" w:pos="9360"/>
      </w:tabs>
      <w:spacing w:after="100"/>
    </w:pPr>
    <w:rPr>
      <w:rFonts w:asciiTheme="majorHAnsi" w:hAnsiTheme="majorHAnsi"/>
      <w:b/>
      <w:color w:val="365F91" w:themeColor="accent1" w:themeShade="BF"/>
    </w:rPr>
  </w:style>
  <w:style w:type="paragraph" w:customStyle="1" w:styleId="ExhibitsListSubhead2">
    <w:name w:val="ExhibitsListSubhead2"/>
    <w:basedOn w:val="ExhibitsListSubhead1"/>
    <w:link w:val="ExhibitsListSubhead2Char"/>
    <w:qFormat/>
    <w:pPr>
      <w:tabs>
        <w:tab w:val="clear" w:pos="9360"/>
        <w:tab w:val="left" w:pos="360"/>
        <w:tab w:val="right" w:leader="dot" w:pos="9000"/>
      </w:tabs>
    </w:pPr>
    <w:rPr>
      <w:rFonts w:asciiTheme="minorHAnsi" w:hAnsiTheme="minorHAnsi"/>
      <w:b w:val="0"/>
      <w:color w:val="auto"/>
    </w:rPr>
  </w:style>
  <w:style w:type="character" w:customStyle="1" w:styleId="ExhibitsListSubhead1Char">
    <w:name w:val="ExhibitsListSubhead1 Char"/>
    <w:basedOn w:val="BodyTextChar"/>
    <w:link w:val="ExhibitsListSubhead1"/>
    <w:rPr>
      <w:rFonts w:asciiTheme="majorHAnsi" w:hAnsiTheme="majorHAnsi"/>
      <w:b w:val="0"/>
      <w:color w:val="365F91" w:themeColor="accent1" w:themeShade="BF"/>
      <w:sz w:val="24"/>
      <w:szCs w:val="24"/>
    </w:rPr>
  </w:style>
  <w:style w:type="character" w:customStyle="1" w:styleId="ExhibitsListSubhead2Char">
    <w:name w:val="ExhibitsListSubhead2 Char"/>
    <w:basedOn w:val="ExhibitsListSubhead1Char"/>
    <w:link w:val="ExhibitsListSubhead2"/>
    <w:rPr>
      <w:rFonts w:asciiTheme="majorHAnsi" w:hAnsiTheme="majorHAnsi"/>
      <w:b/>
      <w:color w:val="365F91" w:themeColor="accent1" w:themeShade="BF"/>
      <w:sz w:val="24"/>
      <w:szCs w:val="24"/>
    </w:rPr>
  </w:style>
  <w:style w:type="character" w:customStyle="1" w:styleId="SidebarBodyTextChar">
    <w:name w:val="Sidebar Body Text Char"/>
    <w:basedOn w:val="DefaultParagraphFont"/>
    <w:link w:val="SidebarBodyText"/>
    <w:rPr>
      <w:color w:val="808080" w:themeColor="background1" w:themeShade="80"/>
      <w:sz w:val="24"/>
    </w:rPr>
  </w:style>
  <w:style w:type="paragraph" w:customStyle="1" w:styleId="SidebarTitles">
    <w:name w:val="Sidebar Titles"/>
    <w:basedOn w:val="Heading1"/>
    <w:link w:val="SidebarTitlesChar"/>
    <w:qFormat/>
    <w:pPr>
      <w:spacing w:after="240"/>
    </w:pPr>
    <w:rPr>
      <w:b w:val="0"/>
      <w:sz w:val="40"/>
      <w:szCs w:val="40"/>
    </w:rPr>
  </w:style>
  <w:style w:type="character" w:customStyle="1" w:styleId="CalloutBoxTitlesChar">
    <w:name w:val="Callout Box Titles Char"/>
    <w:basedOn w:val="DefaultParagraphFont"/>
    <w:link w:val="CalloutBoxTitles"/>
    <w:rPr>
      <w:rFonts w:ascii="Cambria" w:hAnsi="Cambria"/>
      <w:iCs/>
      <w:color w:val="365F91" w:themeColor="accent1" w:themeShade="BF"/>
      <w:sz w:val="32"/>
    </w:rPr>
  </w:style>
  <w:style w:type="paragraph" w:customStyle="1" w:styleId="CalloutBodyText">
    <w:name w:val="Callout Body Text"/>
    <w:basedOn w:val="SidebarBodyText"/>
    <w:link w:val="CalloutBodyTextChar"/>
    <w:qFormat/>
    <w:pPr>
      <w:jc w:val="center"/>
    </w:pPr>
  </w:style>
  <w:style w:type="character" w:customStyle="1" w:styleId="SidebarTitlesChar">
    <w:name w:val="Sidebar Titles Char"/>
    <w:basedOn w:val="Heading1Char"/>
    <w:link w:val="SidebarTitles"/>
    <w:rPr>
      <w:rFonts w:asciiTheme="majorHAnsi" w:eastAsiaTheme="majorEastAsia" w:hAnsiTheme="majorHAnsi" w:cstheme="majorBidi"/>
      <w:b w:val="0"/>
      <w:bCs/>
      <w:color w:val="365F91" w:themeColor="accent1" w:themeShade="BF"/>
      <w:sz w:val="40"/>
      <w:szCs w:val="40"/>
    </w:rPr>
  </w:style>
  <w:style w:type="character" w:customStyle="1" w:styleId="CalloutBodyTextChar">
    <w:name w:val="Callout Body Text Char"/>
    <w:basedOn w:val="SidebarBodyTextChar"/>
    <w:link w:val="CalloutBodyText"/>
    <w:rPr>
      <w:color w:val="808080" w:themeColor="background1" w:themeShade="80"/>
      <w:sz w:val="24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eastAsia="ja-JP"/>
    </w:rPr>
  </w:style>
  <w:style w:type="paragraph" w:customStyle="1" w:styleId="TableTitle">
    <w:name w:val="TableTitle"/>
    <w:basedOn w:val="ListParagraph"/>
    <w:qFormat/>
    <w:pPr>
      <w:numPr>
        <w:numId w:val="32"/>
      </w:numPr>
      <w:spacing w:before="360" w:after="120" w:line="240" w:lineRule="auto"/>
    </w:pPr>
    <w:rPr>
      <w:rFonts w:ascii="Cambria" w:hAnsi="Cambria"/>
      <w:b/>
      <w:i/>
      <w:color w:val="365F91" w:themeColor="accent1" w:themeShade="BF"/>
      <w:sz w:val="24"/>
    </w:rPr>
  </w:style>
  <w:style w:type="paragraph" w:customStyle="1" w:styleId="IRPsanstext">
    <w:name w:val="IRPsanstext"/>
    <w:basedOn w:val="Normal"/>
    <w:link w:val="IRPsanstextChar1"/>
    <w:pPr>
      <w:spacing w:after="0" w:line="320" w:lineRule="exact"/>
    </w:pPr>
    <w:rPr>
      <w:rFonts w:ascii="Arial" w:eastAsia="MS Mincho" w:hAnsi="Arial" w:cs="Times New Roman"/>
      <w:sz w:val="20"/>
      <w:szCs w:val="20"/>
      <w:lang w:eastAsia="ja-JP"/>
    </w:rPr>
  </w:style>
  <w:style w:type="character" w:customStyle="1" w:styleId="IRPsanstextChar1">
    <w:name w:val="IRPsanstext Char1"/>
    <w:link w:val="IRPsanstext"/>
    <w:rPr>
      <w:rFonts w:ascii="Arial" w:eastAsia="MS Mincho" w:hAnsi="Arial" w:cs="Times New Roman"/>
      <w:sz w:val="20"/>
      <w:szCs w:val="20"/>
      <w:lang w:eastAsia="ja-JP"/>
    </w:rPr>
  </w:style>
  <w:style w:type="paragraph" w:customStyle="1" w:styleId="TableBodyText">
    <w:name w:val="TableBodyText"/>
    <w:basedOn w:val="Normal"/>
    <w:qFormat/>
    <w:pPr>
      <w:spacing w:before="60" w:after="120" w:line="240" w:lineRule="auto"/>
    </w:pPr>
    <w:rPr>
      <w:sz w:val="24"/>
      <w:szCs w:val="24"/>
      <w:lang w:eastAsia="ja-JP"/>
    </w:rPr>
  </w:style>
  <w:style w:type="paragraph" w:customStyle="1" w:styleId="TableHeaderText">
    <w:name w:val="TableHeaderText"/>
    <w:basedOn w:val="Normal"/>
    <w:qFormat/>
    <w:pPr>
      <w:spacing w:before="60" w:after="60" w:line="240" w:lineRule="auto"/>
    </w:pPr>
    <w:rPr>
      <w:b/>
      <w:color w:val="FFFFFF" w:themeColor="background1"/>
      <w:sz w:val="24"/>
      <w:szCs w:val="24"/>
      <w:lang w:eastAsia="ja-JP"/>
    </w:rPr>
  </w:style>
  <w:style w:type="paragraph" w:customStyle="1" w:styleId="IRPbullet">
    <w:name w:val="IRPbullet"/>
    <w:basedOn w:val="Normal"/>
    <w:pPr>
      <w:numPr>
        <w:numId w:val="38"/>
      </w:numPr>
      <w:spacing w:beforeAutospacing="1" w:after="0" w:afterAutospacing="1" w:line="360" w:lineRule="auto"/>
    </w:pPr>
    <w:rPr>
      <w:rFonts w:ascii="Arial" w:eastAsia="MS Mincho" w:hAnsi="Arial" w:cs="Times New Roman"/>
      <w:sz w:val="20"/>
      <w:szCs w:val="20"/>
      <w:lang w:eastAsia="ja-JP"/>
    </w:rPr>
  </w:style>
  <w:style w:type="paragraph" w:customStyle="1" w:styleId="Parabody">
    <w:name w:val="Para body"/>
    <w:basedOn w:val="Normal"/>
    <w:pPr>
      <w:spacing w:after="0" w:line="360" w:lineRule="auto"/>
      <w:jc w:val="both"/>
    </w:pPr>
    <w:rPr>
      <w:rFonts w:ascii="Arial" w:eastAsia="Times New Roman" w:hAnsi="Arial" w:cs="Times New Roman"/>
    </w:rPr>
  </w:style>
  <w:style w:type="paragraph" w:customStyle="1" w:styleId="IRPsecthead1serif">
    <w:name w:val="IRPsecthead1serif"/>
    <w:basedOn w:val="Normal"/>
    <w:pPr>
      <w:spacing w:after="0" w:line="240" w:lineRule="auto"/>
    </w:pPr>
    <w:rPr>
      <w:rFonts w:ascii="Palatino" w:eastAsia="MS Mincho" w:hAnsi="Palatino" w:cs="Times New Roman"/>
      <w:i/>
      <w:sz w:val="32"/>
      <w:szCs w:val="20"/>
      <w:lang w:val="fr-FR" w:eastAsia="ja-JP"/>
    </w:rPr>
  </w:style>
  <w:style w:type="paragraph" w:customStyle="1" w:styleId="08RFPBody">
    <w:name w:val="08RFP Body"/>
    <w:basedOn w:val="Normal"/>
    <w:pPr>
      <w:spacing w:after="24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irpsanstext0">
    <w:name w:val="irpsanstext"/>
    <w:basedOn w:val="Normal"/>
    <w:link w:val="irpsanstextChar"/>
    <w:pPr>
      <w:spacing w:after="0" w:line="320" w:lineRule="atLeast"/>
    </w:pPr>
    <w:rPr>
      <w:rFonts w:ascii="Arial" w:eastAsia="Times New Roman" w:hAnsi="Arial" w:cs="Arial"/>
    </w:rPr>
  </w:style>
  <w:style w:type="character" w:customStyle="1" w:styleId="irpsanstextChar">
    <w:name w:val="irpsanstext Char"/>
    <w:basedOn w:val="DefaultParagraphFont"/>
    <w:link w:val="irpsanstext0"/>
    <w:rPr>
      <w:rFonts w:ascii="Arial" w:eastAsia="Times New Roman" w:hAnsi="Arial" w:cs="Arial"/>
    </w:rPr>
  </w:style>
  <w:style w:type="paragraph" w:customStyle="1" w:styleId="BodyBullets">
    <w:name w:val="BodyBullets"/>
    <w:basedOn w:val="BodyText"/>
    <w:qFormat/>
    <w:pPr>
      <w:numPr>
        <w:numId w:val="43"/>
      </w:numPr>
      <w:spacing w:after="120"/>
    </w:pPr>
  </w:style>
  <w:style w:type="paragraph" w:customStyle="1" w:styleId="Subhead3">
    <w:name w:val="Subhead3"/>
    <w:basedOn w:val="BodyText"/>
    <w:qFormat/>
    <w:pPr>
      <w:spacing w:before="360" w:after="120"/>
    </w:pPr>
    <w:rPr>
      <w:b/>
      <w:i/>
    </w:rPr>
  </w:style>
  <w:style w:type="paragraph" w:customStyle="1" w:styleId="Subhead4">
    <w:name w:val="Subhead4"/>
    <w:basedOn w:val="BodyText"/>
    <w:qFormat/>
    <w:pPr>
      <w:spacing w:before="240"/>
    </w:pPr>
    <w:rPr>
      <w:u w:val="single"/>
      <w:lang w:eastAsia="ja-JP"/>
    </w:rPr>
  </w:style>
  <w:style w:type="paragraph" w:customStyle="1" w:styleId="Subhead5Indent">
    <w:name w:val="Subhead5 (Indent)"/>
    <w:basedOn w:val="BodyText"/>
    <w:qFormat/>
    <w:pPr>
      <w:ind w:left="720"/>
    </w:pPr>
    <w:rPr>
      <w:i/>
    </w:rPr>
  </w:style>
  <w:style w:type="paragraph" w:customStyle="1" w:styleId="Subhead5-BodyTextIndent">
    <w:name w:val="Subhead5-BodyText (Indent)"/>
    <w:basedOn w:val="BodyText"/>
    <w:qFormat/>
    <w:pPr>
      <w:ind w:left="720"/>
    </w:pPr>
  </w:style>
  <w:style w:type="paragraph" w:customStyle="1" w:styleId="Footnotes">
    <w:name w:val="Footnotes"/>
    <w:basedOn w:val="BodyText"/>
    <w:qFormat/>
    <w:pPr>
      <w:spacing w:before="0" w:after="0"/>
    </w:pPr>
    <w:rPr>
      <w:i/>
      <w:sz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rFonts w:asciiTheme="minorHAnsi" w:hAnsiTheme="minorHAns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hAnsi="Calibri"/>
      <w:b/>
      <w:bCs/>
      <w:sz w:val="20"/>
      <w:szCs w:val="20"/>
    </w:r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C7515C8745AB43ABF8E27DB5D2B9DB" ma:contentTypeVersion="5" ma:contentTypeDescription="Create a new document." ma:contentTypeScope="" ma:versionID="7976afc8f1bcab8374ae5fc0fdee6d31">
  <xsd:schema xmlns:xsd="http://www.w3.org/2001/XMLSchema" xmlns:xs="http://www.w3.org/2001/XMLSchema" xmlns:p="http://schemas.microsoft.com/office/2006/metadata/properties" xmlns:ns2="1fbcb9d6-207f-4e16-a5d1-f89975f2d4d3" xmlns:ns3="dbe189f2-33cc-49da-83a0-e3adac0b502e" targetNamespace="http://schemas.microsoft.com/office/2006/metadata/properties" ma:root="true" ma:fieldsID="ad3cd09868fe650efc10839e7c374e21" ns2:_="" ns3:_="">
    <xsd:import namespace="1fbcb9d6-207f-4e16-a5d1-f89975f2d4d3"/>
    <xsd:import namespace="dbe189f2-33cc-49da-83a0-e3adac0b50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df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cb9d6-207f-4e16-a5d1-f89975f2d4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189f2-33cc-49da-83a0-e3adac0b502e" elementFormDefault="qualified">
    <xsd:import namespace="http://schemas.microsoft.com/office/2006/documentManagement/types"/>
    <xsd:import namespace="http://schemas.microsoft.com/office/infopath/2007/PartnerControls"/>
    <xsd:element name="dfms" ma:index="10" nillable="true" ma:displayName="Date and Time" ma:internalName="dfms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fms xmlns="dbe189f2-33cc-49da-83a0-e3adac0b502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1F6F9-83A9-4377-9654-F9C198C38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cb9d6-207f-4e16-a5d1-f89975f2d4d3"/>
    <ds:schemaRef ds:uri="dbe189f2-33cc-49da-83a0-e3adac0b50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9E2FFC-174E-47F7-913A-59D3B28B03B5}">
  <ds:schemaRefs>
    <ds:schemaRef ds:uri="http://purl.org/dc/elements/1.1/"/>
    <ds:schemaRef ds:uri="http://schemas.microsoft.com/office/2006/metadata/properties"/>
    <ds:schemaRef ds:uri="1fbcb9d6-207f-4e16-a5d1-f89975f2d4d3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dbe189f2-33cc-49da-83a0-e3adac0b502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8ED8E5F-45AE-4242-A753-608232055C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0E0159-1C97-4EB6-82AF-DB1A58F37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of Estimated Avoided Cost</vt:lpstr>
    </vt:vector>
  </TitlesOfParts>
  <Company>[Date] Report to the Board of Directors: Title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of Estimated Avoided Cost</dc:title>
  <dc:subject>Exhibit Title</dc:subject>
  <dc:creator>Puget Sound Energy</dc:creator>
  <cp:lastModifiedBy>Spector, Kimo</cp:lastModifiedBy>
  <cp:revision>5</cp:revision>
  <cp:lastPrinted>2018-04-16T23:37:00Z</cp:lastPrinted>
  <dcterms:created xsi:type="dcterms:W3CDTF">2022-12-08T22:21:00Z</dcterms:created>
  <dcterms:modified xsi:type="dcterms:W3CDTF">2022-12-09T19:40:00Z</dcterms:modified>
  <cp:contentStatus>Draft Review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0x010100B2C7515C8745AB43ABF8E27DB5D2B9DB</vt:lpwstr>
  </property>
</Properties>
</file>