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bookmarkStart w:id="1" w:name="_Toc416189966" w:displacedByCustomXml="next"/>
    <w:sdt>
      <w:sdtPr>
        <w:rPr>
          <w:b w:val="0"/>
          <w:i w:val="0"/>
          <w:sz w:val="22"/>
          <w:szCs w:val="22"/>
        </w:rPr>
        <w:id w:val="-687758248"/>
        <w:docPartObj>
          <w:docPartGallery w:val="Cover Pages"/>
          <w:docPartUnique/>
        </w:docPartObj>
      </w:sdtPr>
      <w:sdtEndPr/>
      <w:sdtContent>
        <w:tbl>
          <w:tblPr>
            <w:tblpPr w:leftFromText="187" w:rightFromText="187" w:horzAnchor="margin" w:tblpXSpec="center" w:tblpY="2881"/>
            <w:tblW w:w="4000" w:type="pct"/>
            <w:tblBorders>
              <w:left w:val="single" w:sz="18" w:space="0" w:color="4F81BD" w:themeColor="accent1"/>
            </w:tblBorders>
            <w:tblLook w:val="04A0" w:firstRow="1" w:lastRow="0" w:firstColumn="1" w:lastColumn="0" w:noHBand="0" w:noVBand="1"/>
          </w:tblPr>
          <w:tblGrid>
            <w:gridCol w:w="7470"/>
          </w:tblGrid>
          <w:tr w:rsidR="00282D64" w14:paraId="4C6E1447" w14:textId="77777777">
            <w:tc>
              <w:tcPr>
                <w:tcW w:w="7672" w:type="dxa"/>
                <w:tcMar>
                  <w:top w:w="216" w:type="dxa"/>
                  <w:left w:w="115" w:type="dxa"/>
                  <w:bottom w:w="216" w:type="dxa"/>
                  <w:right w:w="115" w:type="dxa"/>
                </w:tcMar>
              </w:tcPr>
              <w:p w14:paraId="4C6E1445" w14:textId="77777777" w:rsidR="00282D64" w:rsidRDefault="00282D64" w:rsidP="00D61E8B">
                <w:pPr>
                  <w:pStyle w:val="Subhead3"/>
                </w:pPr>
              </w:p>
              <w:p w14:paraId="4C6E1446" w14:textId="1D85A533" w:rsidR="00282D64" w:rsidRPr="00765F23" w:rsidRDefault="001E447E" w:rsidP="00263312">
                <w:pPr>
                  <w:pStyle w:val="NoSpacing"/>
                  <w:spacing w:line="276" w:lineRule="auto"/>
                  <w:rPr>
                    <w:rFonts w:eastAsiaTheme="majorEastAsia" w:cstheme="majorBidi"/>
                    <w:i/>
                    <w:sz w:val="28"/>
                  </w:rPr>
                </w:pPr>
                <w:r>
                  <w:rPr>
                    <w:rFonts w:eastAsiaTheme="majorEastAsia" w:cstheme="majorBidi"/>
                    <w:i/>
                    <w:sz w:val="28"/>
                  </w:rPr>
                  <w:t>202</w:t>
                </w:r>
                <w:r w:rsidR="00263312">
                  <w:rPr>
                    <w:rFonts w:eastAsiaTheme="majorEastAsia" w:cstheme="majorBidi"/>
                    <w:i/>
                    <w:sz w:val="28"/>
                  </w:rPr>
                  <w:t>2</w:t>
                </w:r>
                <w:r w:rsidR="00765F23">
                  <w:rPr>
                    <w:rFonts w:eastAsiaTheme="majorEastAsia" w:cstheme="majorBidi"/>
                    <w:i/>
                    <w:sz w:val="28"/>
                  </w:rPr>
                  <w:t xml:space="preserve"> </w:t>
                </w:r>
                <w:r w:rsidR="00263312">
                  <w:rPr>
                    <w:rFonts w:eastAsiaTheme="majorEastAsia" w:cstheme="majorBidi"/>
                    <w:i/>
                    <w:sz w:val="28"/>
                  </w:rPr>
                  <w:t>Distributed Energy Resources</w:t>
                </w:r>
                <w:r w:rsidR="00957942">
                  <w:rPr>
                    <w:rFonts w:eastAsiaTheme="majorEastAsia" w:cstheme="majorBidi"/>
                    <w:i/>
                    <w:sz w:val="28"/>
                  </w:rPr>
                  <w:t xml:space="preserve"> </w:t>
                </w:r>
                <w:r w:rsidR="009E5244">
                  <w:rPr>
                    <w:rFonts w:eastAsiaTheme="majorEastAsia" w:cstheme="majorBidi"/>
                    <w:i/>
                    <w:sz w:val="28"/>
                  </w:rPr>
                  <w:t>RFP</w:t>
                </w:r>
                <w:r w:rsidR="00282D64" w:rsidRPr="00282D64">
                  <w:rPr>
                    <w:rFonts w:eastAsiaTheme="majorEastAsia" w:cstheme="majorBidi"/>
                    <w:i/>
                    <w:sz w:val="28"/>
                  </w:rPr>
                  <w:t xml:space="preserve">: </w:t>
                </w:r>
              </w:p>
            </w:tc>
          </w:tr>
          <w:tr w:rsidR="00282D64" w14:paraId="4C6E1449" w14:textId="77777777">
            <w:tc>
              <w:tcPr>
                <w:tcW w:w="7672" w:type="dxa"/>
              </w:tcPr>
              <w:p w14:paraId="4C6E1448" w14:textId="2B1F53A5" w:rsidR="00282D64" w:rsidRDefault="00282D64" w:rsidP="00AC7E97">
                <w:pPr>
                  <w:pStyle w:val="NoSpacing"/>
                  <w:rPr>
                    <w:rFonts w:asciiTheme="majorHAnsi" w:eastAsiaTheme="majorEastAsia" w:hAnsiTheme="majorHAnsi" w:cstheme="majorBidi"/>
                    <w:color w:val="4F81BD" w:themeColor="accent1"/>
                    <w:sz w:val="80"/>
                    <w:szCs w:val="80"/>
                  </w:rPr>
                </w:pPr>
                <w:r w:rsidRPr="00282D64">
                  <w:rPr>
                    <w:rFonts w:asciiTheme="majorHAnsi" w:eastAsiaTheme="majorEastAsia" w:hAnsiTheme="majorHAnsi" w:cstheme="majorBidi"/>
                    <w:color w:val="4F81BD" w:themeColor="accent1"/>
                    <w:sz w:val="56"/>
                    <w:szCs w:val="80"/>
                  </w:rPr>
                  <w:t xml:space="preserve">Exhibit </w:t>
                </w:r>
                <w:r w:rsidR="005915A5">
                  <w:rPr>
                    <w:rFonts w:asciiTheme="majorHAnsi" w:eastAsiaTheme="majorEastAsia" w:hAnsiTheme="majorHAnsi" w:cstheme="majorBidi"/>
                    <w:color w:val="4F81BD" w:themeColor="accent1"/>
                    <w:sz w:val="56"/>
                    <w:szCs w:val="80"/>
                  </w:rPr>
                  <w:t>D</w:t>
                </w:r>
                <w:r>
                  <w:rPr>
                    <w:rFonts w:asciiTheme="majorHAnsi" w:eastAsiaTheme="majorEastAsia" w:hAnsiTheme="majorHAnsi" w:cstheme="majorBidi"/>
                    <w:color w:val="4F81BD" w:themeColor="accent1"/>
                    <w:sz w:val="56"/>
                    <w:szCs w:val="80"/>
                  </w:rPr>
                  <w:t xml:space="preserve">. </w:t>
                </w:r>
                <w:r w:rsidR="00AC7E97">
                  <w:rPr>
                    <w:rFonts w:asciiTheme="majorHAnsi" w:eastAsiaTheme="majorEastAsia" w:hAnsiTheme="majorHAnsi" w:cstheme="majorBidi"/>
                    <w:color w:val="4F81BD" w:themeColor="accent1"/>
                    <w:sz w:val="56"/>
                    <w:szCs w:val="80"/>
                  </w:rPr>
                  <w:t>Mutual Confidentiality Agreement</w:t>
                </w:r>
              </w:p>
            </w:tc>
          </w:tr>
          <w:tr w:rsidR="00282D64" w14:paraId="4C6E144B" w14:textId="77777777">
            <w:tc>
              <w:tcPr>
                <w:tcW w:w="7672" w:type="dxa"/>
                <w:tcMar>
                  <w:top w:w="216" w:type="dxa"/>
                  <w:left w:w="115" w:type="dxa"/>
                  <w:bottom w:w="216" w:type="dxa"/>
                  <w:right w:w="115" w:type="dxa"/>
                </w:tcMar>
              </w:tcPr>
              <w:p w14:paraId="4C6E144A" w14:textId="77777777" w:rsidR="00282D64" w:rsidRDefault="00282D64" w:rsidP="00282D64">
                <w:pPr>
                  <w:pStyle w:val="NoSpacing"/>
                  <w:rPr>
                    <w:rFonts w:asciiTheme="majorHAnsi" w:eastAsiaTheme="majorEastAsia" w:hAnsiTheme="majorHAnsi" w:cstheme="majorBidi"/>
                  </w:rPr>
                </w:pPr>
              </w:p>
            </w:tc>
          </w:tr>
        </w:tbl>
        <w:p w14:paraId="4C6E144C" w14:textId="26516C47" w:rsidR="00282D64" w:rsidRDefault="00D07710">
          <w:r>
            <w:rPr>
              <w:noProof/>
            </w:rPr>
            <w:drawing>
              <wp:anchor distT="0" distB="0" distL="114300" distR="114300" simplePos="0" relativeHeight="251658240" behindDoc="1" locked="0" layoutInCell="1" allowOverlap="1" wp14:anchorId="1CB39645" wp14:editId="6708AAAD">
                <wp:simplePos x="0" y="0"/>
                <wp:positionH relativeFrom="column">
                  <wp:align>right</wp:align>
                </wp:positionH>
                <wp:positionV relativeFrom="topMargin">
                  <wp:align>bottom</wp:align>
                </wp:positionV>
                <wp:extent cx="2313432" cy="365760"/>
                <wp:effectExtent l="0" t="0" r="0" b="0"/>
                <wp:wrapNone/>
                <wp:docPr id="1" name="Picture 1" descr="NoBar_StdDark_NoTag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Bar_StdDark_NoTag_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13432" cy="365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6E144D" w14:textId="77777777" w:rsidR="00282D64" w:rsidRDefault="00282D64"/>
        <w:p w14:paraId="52888C0F" w14:textId="77777777" w:rsidR="00D07710" w:rsidRDefault="00D07710"/>
        <w:tbl>
          <w:tblPr>
            <w:tblpPr w:leftFromText="187" w:rightFromText="187" w:horzAnchor="margin" w:tblpXSpec="center" w:tblpYSpec="bottom"/>
            <w:tblW w:w="4000" w:type="pct"/>
            <w:tblLook w:val="04A0" w:firstRow="1" w:lastRow="0" w:firstColumn="1" w:lastColumn="0" w:noHBand="0" w:noVBand="1"/>
          </w:tblPr>
          <w:tblGrid>
            <w:gridCol w:w="7488"/>
          </w:tblGrid>
          <w:tr w:rsidR="00282D64" w14:paraId="4C6E144F" w14:textId="77777777">
            <w:tc>
              <w:tcPr>
                <w:tcW w:w="7672" w:type="dxa"/>
                <w:tcMar>
                  <w:top w:w="216" w:type="dxa"/>
                  <w:left w:w="115" w:type="dxa"/>
                  <w:bottom w:w="216" w:type="dxa"/>
                  <w:right w:w="115" w:type="dxa"/>
                </w:tcMar>
              </w:tcPr>
              <w:p w14:paraId="4C6E144E" w14:textId="77777777" w:rsidR="00282D64" w:rsidRDefault="00282D64" w:rsidP="00282D64">
                <w:pPr>
                  <w:pStyle w:val="NoSpacing"/>
                  <w:rPr>
                    <w:color w:val="4F81BD" w:themeColor="accent1"/>
                  </w:rPr>
                </w:pPr>
              </w:p>
            </w:tc>
          </w:tr>
        </w:tbl>
        <w:p w14:paraId="4C6E1450" w14:textId="77777777" w:rsidR="00282D64" w:rsidRDefault="00282D64"/>
        <w:p w14:paraId="4C6E1451" w14:textId="77777777" w:rsidR="00282D64" w:rsidRDefault="00282D64">
          <w:pPr>
            <w:rPr>
              <w:sz w:val="24"/>
              <w:szCs w:val="24"/>
            </w:rPr>
          </w:pPr>
          <w:r>
            <w:rPr>
              <w:b/>
              <w:i/>
              <w:sz w:val="24"/>
              <w:szCs w:val="24"/>
            </w:rPr>
            <w:br w:type="page"/>
          </w:r>
        </w:p>
      </w:sdtContent>
    </w:sdt>
    <w:bookmarkEnd w:id="1"/>
    <w:p w14:paraId="4C6E1452" w14:textId="77777777" w:rsidR="00AF1760" w:rsidRDefault="00F5574A" w:rsidP="00F5574A">
      <w:pPr>
        <w:pStyle w:val="Subhead1"/>
        <w:ind w:left="0"/>
      </w:pPr>
      <w:r>
        <w:lastRenderedPageBreak/>
        <w:t>Mutual Confidentiality Agreement</w:t>
      </w:r>
    </w:p>
    <w:p w14:paraId="4C6E1453" w14:textId="399FAD68" w:rsidR="00F5574A" w:rsidRPr="00F5574A" w:rsidRDefault="00F5574A" w:rsidP="00F5574A">
      <w:pPr>
        <w:pStyle w:val="BodyText"/>
      </w:pPr>
      <w:r w:rsidRPr="00F5574A">
        <w:t xml:space="preserve">This </w:t>
      </w:r>
      <w:r w:rsidR="003576B0">
        <w:t xml:space="preserve">Agreement, dated as of </w:t>
      </w:r>
      <w:r w:rsidR="003576B0">
        <w:tab/>
      </w:r>
      <w:r w:rsidR="003576B0">
        <w:tab/>
      </w:r>
      <w:r w:rsidR="003576B0">
        <w:tab/>
      </w:r>
      <w:r w:rsidR="003576B0" w:rsidRPr="00F50C54">
        <w:t xml:space="preserve">, </w:t>
      </w:r>
      <w:r w:rsidR="007E03FE">
        <w:t>202</w:t>
      </w:r>
      <w:r w:rsidR="005915A5">
        <w:t>2</w:t>
      </w:r>
      <w:r w:rsidRPr="00F50C54">
        <w:t>,</w:t>
      </w:r>
      <w:r w:rsidRPr="00F5574A">
        <w:t xml:space="preserve"> is entered into between Puget Sound Energy, Inc. (“PSE”) and __________ ("________").  PSE and _________ are sometimes referred to in this Agreement as “Party,” and collectively as “Parties.”</w:t>
      </w:r>
    </w:p>
    <w:p w14:paraId="4C6E1454" w14:textId="3DCC495F" w:rsidR="00F5574A" w:rsidRPr="00F5574A" w:rsidRDefault="00F5574A" w:rsidP="00F5574A">
      <w:pPr>
        <w:pStyle w:val="BodyText"/>
      </w:pPr>
      <w:r w:rsidRPr="00F5574A">
        <w:t>1.  The Parties intend to enter into discussions r</w:t>
      </w:r>
      <w:r>
        <w:t xml:space="preserve">egarding one or more potential </w:t>
      </w:r>
      <w:r w:rsidRPr="00F5574A">
        <w:t xml:space="preserve">transactions between the Parties involving the acquisition of electrical generation output or an interest in </w:t>
      </w:r>
      <w:r w:rsidR="00135253">
        <w:t>distributed energy resource</w:t>
      </w:r>
      <w:r w:rsidRPr="00F5574A">
        <w:t xml:space="preserve"> facilities (or both).  In the course of these discussions, each Party may disclose Confidential Information to the other.  For the purposes of this Agreement, “Confidential Information” means any information or data disclosed in connection with such discussions in any form or media whatsoever by either Party (the “Disclosing Party”) to the other Party (the “Receiving Party”) which (a) if in tangible form, or other media that can be converted to readable form, is clearly and conspicuously marked as proprietary, confidential or private on each page thereof when disclosed; or (b) if oral or visual, is identified in writing as proprietary, confidential or private at the same time it is disclosed.  “Confidential Information” includes all originals, copies, notes, correspondence, conversations and other manifestations, derivations and analysis of the foregoing.</w:t>
      </w:r>
    </w:p>
    <w:p w14:paraId="4C6E1455" w14:textId="459C1D42" w:rsidR="00F5574A" w:rsidRPr="00F5574A" w:rsidRDefault="00F5574A" w:rsidP="00F5574A">
      <w:pPr>
        <w:pStyle w:val="BodyText"/>
      </w:pPr>
      <w:r w:rsidRPr="00F5574A">
        <w:t>2.  Confidential Information shall not include information that (a) is or becomes generally available to the public other than by reason of the Receiving Party’s breach of this Agreement; (b) the Receiving Party can reasonably demonstrate (</w:t>
      </w:r>
      <w:proofErr w:type="spellStart"/>
      <w:r w:rsidRPr="00F5574A">
        <w:t>i</w:t>
      </w:r>
      <w:proofErr w:type="spellEnd"/>
      <w:r w:rsidRPr="00F5574A">
        <w:t>) was known by the Receiving Party, prior to its disclosure by the Disclosing Party, without any obligation to hold it in confidence, (ii) is received from a third party free to disclose such information without restriction, (iii) is independently developed by the Receiving Party without the use of Confidential Information of the Disclosing Party; (c) is approved for release by written authorization of the Disclosing Party, but only to the extent of such authorization; or (d) is related to the transmission of power, including but not limited to, any information which must be disclosed to the transmission function of a Party as part of any transmission request or information exchange that is required to be made public pursuant to Federal Energy Regulatory Commission or other governmental rules and regulations.  Notwithstanding anything to the contrary set forth in this Agreement, the Receiving Party shall not be obligated to keep confidential any Confidential Information that (A) is required by law or regulation to be disclosed (including, without limitation, any summary or ranking of any proposal by the Disclosing Party constituting Confidential Information that PSE is required by law or regulation to make available to the public), but only to the extent and for the purposes of such required disclosure or (B) is</w:t>
      </w:r>
      <w:r w:rsidR="00957942">
        <w:t xml:space="preserve"> required to be</w:t>
      </w:r>
      <w:r w:rsidRPr="00F5574A">
        <w:t xml:space="preserve"> disclosed in response to a valid order or request of a court or other governmental authority having jurisdiction or in pursuance of any procedures for discovery or information gathering in any proceeding before any such court or governmental authority, but only to the extent of and for the purposes of such order, provided that the Receiving Party, who is subject to such order or discovery, gives the Disclosing Party reasonable advance notice (e.g., so as to afford the Disclosing Party an opportunity to appear, object and obtain a protective order or other appropriate relief regarding such disclosure).  The </w:t>
      </w:r>
      <w:r w:rsidRPr="00F5574A">
        <w:lastRenderedPageBreak/>
        <w:t>Receiving Party, who is subject to such order or discovery, shall, at the Disclosing Party’s expense, use reasonable efforts to assist the Disclosing Party’s efforts to obtain a protective order or other appropriate relief</w:t>
      </w:r>
      <w:r w:rsidRPr="00F5574A">
        <w:rPr>
          <w:rFonts w:hint="eastAsia"/>
        </w:rPr>
        <w:t xml:space="preserve">; provided, that the Disclosing Party acknowledges and agrees that the Receiving Party shall have no obligation or responsibility to appear before, or to make any showing to, any court or any other governmental authority in connection </w:t>
      </w:r>
      <w:r w:rsidRPr="00F5574A">
        <w:t>with</w:t>
      </w:r>
      <w:r w:rsidRPr="00F5574A">
        <w:rPr>
          <w:rFonts w:hint="eastAsia"/>
        </w:rPr>
        <w:t xml:space="preserve"> protecting any Confidential Information from disclosure by such court or governmental authority, and such responsibility shall be solely that of the Disclosing Party</w:t>
      </w:r>
      <w:r w:rsidRPr="00F5574A">
        <w:t>.</w:t>
      </w:r>
    </w:p>
    <w:p w14:paraId="4C6E1456" w14:textId="7585CA08" w:rsidR="00F5574A" w:rsidRPr="00F5574A" w:rsidRDefault="00F5574A" w:rsidP="00F5574A">
      <w:pPr>
        <w:pStyle w:val="BodyText"/>
      </w:pPr>
      <w:r w:rsidRPr="00F5574A">
        <w:t>3.  The Parties acknowledge that PSE is a public utility regulated by the Washington Utilities and Transportation Commission  (“Commission”) and that its decisions regarding one or more potential transactions between the Parties involving the acquisition of electrical generation output or an interest in power generation facilities, together with related Confidential Information, may be subject to review by the Commission.  Notwithstanding the provisions of Section 2, in the event that such PSE decisions are at issue in a proceeding before the Commission, PSE will seek, at its own expense, a protective order from the Commission with “highly confidential provisions” to protect against the disclosure of Confidential Information to competitors and the public.  Disclosure of Confidential Information by either of the Parties to the Commission, its staff, counsel for the Commission or Public Counsel in the Attorney General's Office, or their internal advisors, in connection with any such proceeding w</w:t>
      </w:r>
      <w:r>
        <w:t>ill not violate this Agreement</w:t>
      </w:r>
      <w:r w:rsidR="004B7017">
        <w:t>, nor will the filing with the Commission of generic bid summaries made in compliance with WAC 480-107-035 or -145</w:t>
      </w:r>
      <w:r>
        <w:t>.</w:t>
      </w:r>
    </w:p>
    <w:p w14:paraId="4C6E1457" w14:textId="77777777" w:rsidR="00F5574A" w:rsidRPr="00F5574A" w:rsidRDefault="00F5574A" w:rsidP="00F5574A">
      <w:pPr>
        <w:pStyle w:val="BodyText"/>
      </w:pPr>
      <w:r w:rsidRPr="00F5574A">
        <w:t>4.  Each party acknowledges and agrees that it has no proprietary or exclusive right to any tax matter, tax idea, tax structure or tax treatment related to any potential transaction or transaction between the Parties and that no such tax matter, tax idea, tax structure or tax treatment shall be deemed to be the Confidential Information of either Party.</w:t>
      </w:r>
    </w:p>
    <w:p w14:paraId="4C6E1458" w14:textId="2CCA2AD0" w:rsidR="00F5574A" w:rsidRPr="00F5574A" w:rsidRDefault="00F5574A" w:rsidP="00F5574A">
      <w:pPr>
        <w:pStyle w:val="BodyText"/>
      </w:pPr>
      <w:r w:rsidRPr="00F5574A">
        <w:t>5.  The Receiving Party shall, subject to the other provisions of this Agreement, (a) use the Confidential Information only for purposes of evaluating one or more potential transactions between the Parties involving power generation facilities or the output thereof; (b) restrict disclosure of the Confidential Information only to employees, advisors, contractors</w:t>
      </w:r>
      <w:r w:rsidR="00FF7E6F">
        <w:t xml:space="preserve"> (including any independent evaluator engaged pursuant to WAC 480-107-023)</w:t>
      </w:r>
      <w:r w:rsidRPr="00F5574A">
        <w:t>, agents, representatives and active or potential investors or lenders of the Receiving Party and affiliates ("Representatives") with a “need to know”; (c) advise such Representatives of the confidential nature of the Confidential Information and their obligation to keep such information confidential; and (d) copy the Confidential Information only as necessary for those Representatives who are entitled to receive it, and ensure that all confidential notices are reproduced in full on such copies.  A “need to know” means that the Representatives require the Confidential Information to perform their responsibilities in evaluating or pursuing one or more potential transactions between the Parties involving power generation facilities or the output thereof.</w:t>
      </w:r>
    </w:p>
    <w:p w14:paraId="4C6E1459" w14:textId="77777777" w:rsidR="00F5574A" w:rsidRPr="00F5574A" w:rsidRDefault="00F5574A" w:rsidP="00F5574A">
      <w:pPr>
        <w:pStyle w:val="BodyText"/>
      </w:pPr>
    </w:p>
    <w:p w14:paraId="4C6E145A" w14:textId="77777777" w:rsidR="00F5574A" w:rsidRPr="00F5574A" w:rsidRDefault="00F5574A" w:rsidP="00F5574A">
      <w:pPr>
        <w:pStyle w:val="BodyText"/>
      </w:pPr>
      <w:r w:rsidRPr="00F5574A">
        <w:lastRenderedPageBreak/>
        <w:t>6.  Confidential Information shall be deemed to be the property of the Disclosing Party.  This Agreement shall not be interpreted or construed as granting any license or other right under or with respect to any patent, copyright, trademark, trade secret or other proprietary right.  The Receiving Party shall, within 30 days of a written request therefor by the Disclosing Party, either return all of the Disclosing Party’s Confidential Information (or any designated portion thereof) to the Disclosing Party or destroy all such Confidential Information (or any designated portion thereof) and provide an officer’s certificate as to the destruction of such Confidential Information; provided, that PSE, as a Receiving Party, shall not be obligated to return to the Disclosing Party any proposal by the Disclosing Party, or any information related thereto, constituting Confidential Information, and PSE will retain all such proposals and information for the period set forth in Washington Administrative Code 480-107-145(1), which requires PSE to retain such materials for a period of at least seven (7) years from the completion of the RFP process, or the conclusion of PSE's next general electric</w:t>
      </w:r>
      <w:r>
        <w:t xml:space="preserve"> rate case, whichever is later.</w:t>
      </w:r>
    </w:p>
    <w:p w14:paraId="4C6E145B" w14:textId="77777777" w:rsidR="00F5574A" w:rsidRPr="00F5574A" w:rsidRDefault="00F5574A" w:rsidP="00F5574A">
      <w:pPr>
        <w:pStyle w:val="BodyText"/>
      </w:pPr>
      <w:r w:rsidRPr="00F5574A">
        <w:t>7.  Neither this Agreement nor any discussions or disclosure hereunder shall (a) be deemed a commitment to any business relationship or contract for future dealing with another Party or (b) prevent either Party from conducting similar discussions with any third party, so long as such discussions do not result in the use or disclosure by the Receiving Party of Confidential Information protected by this Agreement.  If the Parties elect to proceed with any transaction, then all agreements, representations, warranties, covenants and conditions with respect thereto shall be only as set forth in a separate written agreement to be negotiat</w:t>
      </w:r>
      <w:r>
        <w:t>ed and executed by the Parties.</w:t>
      </w:r>
    </w:p>
    <w:p w14:paraId="4C6E145C" w14:textId="77777777" w:rsidR="00F5574A" w:rsidRPr="00F5574A" w:rsidRDefault="00F5574A" w:rsidP="00F5574A">
      <w:pPr>
        <w:pStyle w:val="BodyText"/>
      </w:pPr>
      <w:r w:rsidRPr="00F5574A">
        <w:t>8.  Each of the Parties acknowledges that the Confidential Information received from another Party constitutes valuable confidential, commercial, business and proprietary information of the Disclosing Party and serious commercial disadvantage or irreparable harm may result for the Disclosing Party if the Receiving Party breaches its nondisclosure obligations under this Agreement.  In such event or the threat of such event, the Disclosing Party shall be entitled to injunctive relief, specific performance and other equitable relief without proof of monetary damages.  In any action to enforce this Agreement or on account of any breach of this Agreement, the prevailing Party shall be entitled to recover, in addition to all other relief, its reasonable attorneys’ fees and court cos</w:t>
      </w:r>
      <w:r>
        <w:t>ts associated with such action.</w:t>
      </w:r>
    </w:p>
    <w:p w14:paraId="4C6E145D" w14:textId="77777777" w:rsidR="00F5574A" w:rsidRPr="00F5574A" w:rsidRDefault="00F5574A" w:rsidP="00F5574A">
      <w:pPr>
        <w:pStyle w:val="BodyText"/>
      </w:pPr>
      <w:r w:rsidRPr="00F5574A">
        <w:t>9.  This Agreement may not be assigned by either Party without the prior written consent of the other Party.  No permitted assignment shall relieve the Receiving Party of its obligations hereunder with respect to Confidential Information disclosed to it prior to such assignment.  Any assignment in violation of this Paragraph 9 shall be void.  This Agreement shall be binding upon the Parties’ respective successors and assigns.</w:t>
      </w:r>
    </w:p>
    <w:p w14:paraId="4C6E145E" w14:textId="77777777" w:rsidR="00F5574A" w:rsidRPr="00F5574A" w:rsidRDefault="00F5574A" w:rsidP="00F5574A">
      <w:pPr>
        <w:pStyle w:val="BodyText"/>
      </w:pPr>
    </w:p>
    <w:p w14:paraId="4C6E145F" w14:textId="77777777" w:rsidR="00F5574A" w:rsidRPr="00F5574A" w:rsidRDefault="00F5574A" w:rsidP="00F5574A">
      <w:pPr>
        <w:pStyle w:val="BodyText"/>
      </w:pPr>
      <w:r w:rsidRPr="00F5574A">
        <w:lastRenderedPageBreak/>
        <w:t>10.  This Agreement shall be deemed to be effective as of the date first above written, and shall continue thereafter for a period of seven</w:t>
      </w:r>
      <w:r w:rsidRPr="00F5574A">
        <w:rPr>
          <w:rFonts w:hint="eastAsia"/>
        </w:rPr>
        <w:t xml:space="preserve"> </w:t>
      </w:r>
      <w:r w:rsidRPr="00F5574A">
        <w:t>(7) years or, if later, upon the conclusion of PSE's n</w:t>
      </w:r>
      <w:r>
        <w:t>ext general electric rate case.</w:t>
      </w:r>
    </w:p>
    <w:p w14:paraId="4C6E1460" w14:textId="77777777" w:rsidR="00F5574A" w:rsidRPr="00F5574A" w:rsidRDefault="00F5574A" w:rsidP="00F5574A">
      <w:pPr>
        <w:pStyle w:val="BodyText"/>
      </w:pPr>
      <w:r w:rsidRPr="00F5574A">
        <w:t>11.  No Party shall be liable to another Party for any consequential, indirect, incidental, special, exemplary or punitive damages arising out of or relat</w:t>
      </w:r>
      <w:r>
        <w:t>ed to this Agreement.</w:t>
      </w:r>
    </w:p>
    <w:p w14:paraId="4C6E1461" w14:textId="77777777" w:rsidR="00F5574A" w:rsidRPr="00F5574A" w:rsidRDefault="00F5574A" w:rsidP="00F5574A">
      <w:pPr>
        <w:pStyle w:val="BodyText"/>
      </w:pPr>
      <w:r w:rsidRPr="00F5574A">
        <w:t>12.  This Agreement shall be interpreted, construed and enforced in accordance with the laws of the state of Washington, without regard to such state’s choice of law principles to the contrary.  Each of the Parties irrevocably consents to the exclusive jurisdiction and venue of any state or federal court located in King County, Washington, with regard to any legal or equitable action or procee</w:t>
      </w:r>
      <w:r>
        <w:t>ding related to this Agreement.</w:t>
      </w:r>
    </w:p>
    <w:p w14:paraId="4C6E1462" w14:textId="5D3B5F8A" w:rsidR="00F5574A" w:rsidRPr="00F5574A" w:rsidRDefault="00F5574A" w:rsidP="00F5574A">
      <w:pPr>
        <w:pStyle w:val="BodyText"/>
      </w:pPr>
      <w:r w:rsidRPr="00F5574A">
        <w:t>13.  This Agreement represents the entire understanding between the Parties with respect to the confidentiality, use, control and proprietary nature of any information disclosed by the Disclosing Party to the Receiving Party and the subject matter hereof and supersedes all prior communications, agreements and u</w:t>
      </w:r>
      <w:r w:rsidR="00C9369E">
        <w:t>nderstandings relating thereto.</w:t>
      </w:r>
      <w:r w:rsidRPr="00F5574A">
        <w:t xml:space="preserve"> The provisions of this Agreement shall not be modified, amended or waived, except by a written instrument duly e</w:t>
      </w:r>
      <w:r>
        <w:t>xecuted by both of the Parties.</w:t>
      </w:r>
    </w:p>
    <w:p w14:paraId="4C6E1463" w14:textId="61278C23" w:rsidR="00F5574A" w:rsidRDefault="00F5574A" w:rsidP="00F5574A">
      <w:pPr>
        <w:pStyle w:val="BodyText"/>
      </w:pPr>
      <w:r w:rsidRPr="00F5574A">
        <w:t>IN WITNESS WHER</w:t>
      </w:r>
      <w:r>
        <w:t xml:space="preserve">EOF, the Parties have executed </w:t>
      </w:r>
      <w:r w:rsidRPr="00F5574A">
        <w:t xml:space="preserve">this Agreement as of </w:t>
      </w:r>
      <w:r w:rsidRPr="00F5574A">
        <w:tab/>
      </w:r>
      <w:r w:rsidRPr="00F5574A">
        <w:tab/>
      </w:r>
      <w:r w:rsidRPr="00F5574A">
        <w:tab/>
        <w:t xml:space="preserve">, </w:t>
      </w:r>
      <w:r w:rsidR="007E03FE">
        <w:t>202</w:t>
      </w:r>
      <w:r w:rsidR="005915A5">
        <w:t>2</w:t>
      </w:r>
      <w:r w:rsidRPr="00F50C54">
        <w:t>.</w:t>
      </w:r>
    </w:p>
    <w:p w14:paraId="4C6E1464" w14:textId="77777777" w:rsidR="00F5574A" w:rsidRPr="00F5574A" w:rsidRDefault="00F5574A" w:rsidP="00F5574A">
      <w:pPr>
        <w:pStyle w:val="BodyText"/>
      </w:pPr>
    </w:p>
    <w:p w14:paraId="4C6E1465" w14:textId="77777777" w:rsidR="00F5574A" w:rsidRPr="00F5574A" w:rsidRDefault="00F5574A" w:rsidP="00F5574A">
      <w:pPr>
        <w:pStyle w:val="BodyText"/>
      </w:pPr>
      <w:r w:rsidRPr="00F5574A">
        <w:t>PUGET SOUND ENERGY, INC.</w:t>
      </w:r>
      <w:r w:rsidRPr="00F5574A">
        <w:tab/>
      </w:r>
      <w:r w:rsidRPr="00F5574A">
        <w:tab/>
      </w:r>
    </w:p>
    <w:p w14:paraId="4C6E1466" w14:textId="77777777" w:rsidR="00F5574A" w:rsidRPr="00F5574A" w:rsidRDefault="00F5574A" w:rsidP="00F5574A">
      <w:pPr>
        <w:pStyle w:val="BodyText"/>
      </w:pPr>
      <w:r w:rsidRPr="00F5574A">
        <w:t>By _______________</w:t>
      </w:r>
      <w:r>
        <w:t>_______________________________</w:t>
      </w:r>
    </w:p>
    <w:p w14:paraId="4C6E1467" w14:textId="77777777" w:rsidR="00F5574A" w:rsidRPr="00F5574A" w:rsidRDefault="00F5574A" w:rsidP="00F5574A">
      <w:pPr>
        <w:pStyle w:val="BodyText"/>
      </w:pPr>
      <w:r w:rsidRPr="00F5574A">
        <w:t>Its ______________________________________________</w:t>
      </w:r>
    </w:p>
    <w:p w14:paraId="4C6E1468" w14:textId="77777777" w:rsidR="00F5574A" w:rsidRPr="00F5574A" w:rsidRDefault="00F5574A" w:rsidP="00F5574A">
      <w:pPr>
        <w:pStyle w:val="BodyText"/>
      </w:pPr>
    </w:p>
    <w:p w14:paraId="4C6E1469" w14:textId="77777777" w:rsidR="00F5574A" w:rsidRPr="00F5574A" w:rsidRDefault="00F5574A" w:rsidP="00F5574A">
      <w:pPr>
        <w:pStyle w:val="BodyText"/>
      </w:pPr>
      <w:r>
        <w:t>[OTHER PARTY]</w:t>
      </w:r>
    </w:p>
    <w:p w14:paraId="4C6E146A" w14:textId="77777777" w:rsidR="00F5574A" w:rsidRPr="00F5574A" w:rsidRDefault="00F5574A" w:rsidP="00F5574A">
      <w:pPr>
        <w:pStyle w:val="BodyText"/>
      </w:pPr>
      <w:r w:rsidRPr="00F5574A">
        <w:t>By _______________</w:t>
      </w:r>
      <w:r>
        <w:t>_______________________________</w:t>
      </w:r>
    </w:p>
    <w:p w14:paraId="4C6E146B" w14:textId="77777777" w:rsidR="00F5574A" w:rsidRPr="00F5574A" w:rsidRDefault="00F5574A" w:rsidP="00F5574A">
      <w:pPr>
        <w:pStyle w:val="BodyText"/>
      </w:pPr>
      <w:r w:rsidRPr="00F5574A">
        <w:t>Its ______________________________________________</w:t>
      </w:r>
    </w:p>
    <w:p w14:paraId="4C6E146C" w14:textId="77777777" w:rsidR="003769E2" w:rsidRDefault="003769E2" w:rsidP="00FE4FBB">
      <w:pPr>
        <w:pStyle w:val="Footnotes"/>
      </w:pPr>
    </w:p>
    <w:p w14:paraId="4C6E146D" w14:textId="77777777" w:rsidR="003769E2" w:rsidRDefault="003769E2" w:rsidP="00982C1F">
      <w:pPr>
        <w:pStyle w:val="Subhead1"/>
      </w:pPr>
    </w:p>
    <w:p w14:paraId="4C6E146E" w14:textId="77777777" w:rsidR="003769E2" w:rsidRDefault="003769E2" w:rsidP="00982C1F">
      <w:pPr>
        <w:pStyle w:val="Subhead1"/>
      </w:pPr>
    </w:p>
    <w:p w14:paraId="4C6E146F" w14:textId="77777777" w:rsidR="003769E2" w:rsidRDefault="003769E2" w:rsidP="00982C1F">
      <w:pPr>
        <w:pStyle w:val="Subhead1"/>
      </w:pPr>
    </w:p>
    <w:sectPr w:rsidR="003769E2" w:rsidSect="00282D64">
      <w:headerReference w:type="default" r:id="rId12"/>
      <w:footerReference w:type="default" r:id="rId13"/>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F69EFB" w14:textId="77777777" w:rsidR="007F6E71" w:rsidRDefault="007F6E71" w:rsidP="0049226B">
      <w:pPr>
        <w:spacing w:after="0" w:line="240" w:lineRule="auto"/>
      </w:pPr>
      <w:r>
        <w:separator/>
      </w:r>
    </w:p>
  </w:endnote>
  <w:endnote w:type="continuationSeparator" w:id="0">
    <w:p w14:paraId="25F0E7E9" w14:textId="77777777" w:rsidR="007F6E71" w:rsidRDefault="007F6E71" w:rsidP="00492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Palatino">
    <w:altName w:val="Book Antiqua"/>
    <w:charset w:val="00"/>
    <w:family w:val="auto"/>
    <w:pitch w:val="variable"/>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E147A" w14:textId="41B188A6" w:rsidR="00C965A7" w:rsidRDefault="00474FC5" w:rsidP="000E4090">
    <w:pPr>
      <w:pStyle w:val="Footer"/>
      <w:tabs>
        <w:tab w:val="clear" w:pos="4680"/>
      </w:tabs>
      <w:jc w:val="center"/>
    </w:pPr>
    <w:sdt>
      <w:sdtPr>
        <w:id w:val="-396276915"/>
        <w:docPartObj>
          <w:docPartGallery w:val="Page Numbers (Bottom of Page)"/>
          <w:docPartUnique/>
        </w:docPartObj>
      </w:sdtPr>
      <w:sdtEndPr/>
      <w:sdtContent>
        <w:r w:rsidR="00C965A7" w:rsidRPr="00AF1760">
          <w:rPr>
            <w:i/>
          </w:rPr>
          <w:t>-</w:t>
        </w:r>
        <w:r w:rsidR="00692C1F">
          <w:rPr>
            <w:i/>
          </w:rPr>
          <w:t xml:space="preserve"> </w:t>
        </w:r>
        <w:r w:rsidR="00E56482">
          <w:rPr>
            <w:i/>
          </w:rPr>
          <w:t>D</w:t>
        </w:r>
        <w:r w:rsidR="00982C1F">
          <w:rPr>
            <w:i/>
          </w:rPr>
          <w:t>-</w:t>
        </w:r>
        <w:r w:rsidR="00C965A7" w:rsidRPr="00AF1760">
          <w:rPr>
            <w:i/>
          </w:rPr>
          <w:fldChar w:fldCharType="begin"/>
        </w:r>
        <w:r w:rsidR="00C965A7" w:rsidRPr="00AF1760">
          <w:rPr>
            <w:i/>
          </w:rPr>
          <w:instrText xml:space="preserve"> PAGE   \* MERGEFORMAT </w:instrText>
        </w:r>
        <w:r w:rsidR="00C965A7" w:rsidRPr="00AF1760">
          <w:rPr>
            <w:i/>
          </w:rPr>
          <w:fldChar w:fldCharType="separate"/>
        </w:r>
        <w:r>
          <w:rPr>
            <w:i/>
            <w:noProof/>
          </w:rPr>
          <w:t>4</w:t>
        </w:r>
        <w:r w:rsidR="00C965A7" w:rsidRPr="00AF1760">
          <w:rPr>
            <w:i/>
          </w:rPr>
          <w:fldChar w:fldCharType="end"/>
        </w:r>
        <w:r w:rsidR="00C965A7" w:rsidRPr="00AF1760">
          <w:rPr>
            <w:i/>
          </w:rPr>
          <w:t xml:space="preserve"> -</w:t>
        </w:r>
      </w:sdtContent>
    </w:sdt>
  </w:p>
  <w:p w14:paraId="4C6E147B" w14:textId="77777777" w:rsidR="00C965A7" w:rsidRDefault="00C965A7" w:rsidP="00AF1760">
    <w:pPr>
      <w:pStyle w:val="Footer"/>
      <w:ind w:left="7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CDC8CE" w14:textId="77777777" w:rsidR="007F6E71" w:rsidRDefault="007F6E71" w:rsidP="0049226B">
      <w:pPr>
        <w:spacing w:after="0" w:line="240" w:lineRule="auto"/>
      </w:pPr>
      <w:r>
        <w:separator/>
      </w:r>
    </w:p>
  </w:footnote>
  <w:footnote w:type="continuationSeparator" w:id="0">
    <w:p w14:paraId="475F37DE" w14:textId="77777777" w:rsidR="007F6E71" w:rsidRDefault="007F6E71" w:rsidP="004922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E1475" w14:textId="77777777" w:rsidR="003769E2" w:rsidRDefault="003769E2">
    <w:pPr>
      <w:pStyle w:val="Header"/>
      <w:jc w:val="right"/>
      <w:rPr>
        <w:color w:val="4F81BD" w:themeColor="accent1"/>
      </w:rPr>
    </w:pPr>
  </w:p>
  <w:p w14:paraId="4C6E1476" w14:textId="77777777" w:rsidR="003769E2" w:rsidRDefault="003769E2">
    <w:pPr>
      <w:pStyle w:val="Header"/>
      <w:jc w:val="right"/>
      <w:rPr>
        <w:color w:val="4F81BD" w:themeColor="accent1"/>
      </w:rPr>
    </w:pPr>
  </w:p>
  <w:p w14:paraId="4C6E1477" w14:textId="77777777" w:rsidR="00C965A7" w:rsidRDefault="00C965A7">
    <w:pPr>
      <w:pStyle w:val="Header"/>
      <w:jc w:val="right"/>
      <w:rPr>
        <w:color w:val="4F81BD" w:themeColor="accent1"/>
      </w:rPr>
    </w:pPr>
    <w:r>
      <w:rPr>
        <w:noProof/>
        <w:color w:val="4F81BD" w:themeColor="accent1"/>
      </w:rPr>
      <mc:AlternateContent>
        <mc:Choice Requires="wps">
          <w:drawing>
            <wp:anchor distT="0" distB="0" distL="114300" distR="114300" simplePos="0" relativeHeight="251667456" behindDoc="0" locked="0" layoutInCell="1" allowOverlap="1" wp14:anchorId="4C6E147E" wp14:editId="4C6E147F">
              <wp:simplePos x="0" y="0"/>
              <wp:positionH relativeFrom="margin">
                <wp:posOffset>0</wp:posOffset>
              </wp:positionH>
              <wp:positionV relativeFrom="page">
                <wp:posOffset>438150</wp:posOffset>
              </wp:positionV>
              <wp:extent cx="5943600" cy="4286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5943600" cy="428625"/>
                      </a:xfrm>
                      <a:prstGeom prst="rect">
                        <a:avLst/>
                      </a:prstGeom>
                      <a:solidFill>
                        <a:schemeClr val="bg1">
                          <a:lumMod val="95000"/>
                        </a:schemeClr>
                      </a:solidFill>
                      <a:ln w="25400" cap="flat" cmpd="sng" algn="ctr">
                        <a:solidFill>
                          <a:schemeClr val="bg1">
                            <a:lumMod val="95000"/>
                          </a:schemeClr>
                        </a:solidFill>
                        <a:prstDash val="solid"/>
                      </a:ln>
                      <a:effectLst/>
                    </wps:spPr>
                    <wps:txbx>
                      <w:txbxContent>
                        <w:p w14:paraId="4C6E1482" w14:textId="13EF00BC" w:rsidR="00C965A7" w:rsidRPr="00C965A7" w:rsidRDefault="00524A18" w:rsidP="00F972D9">
                          <w:pPr>
                            <w:spacing w:before="120"/>
                            <w:jc w:val="center"/>
                            <w:rPr>
                              <w:b/>
                              <w:sz w:val="24"/>
                            </w:rPr>
                          </w:pPr>
                          <w:r>
                            <w:rPr>
                              <w:b/>
                              <w:sz w:val="24"/>
                            </w:rPr>
                            <w:t xml:space="preserve">EXHIBIT </w:t>
                          </w:r>
                          <w:r w:rsidR="005915A5">
                            <w:rPr>
                              <w:b/>
                              <w:sz w:val="24"/>
                            </w:rPr>
                            <w:t>D</w:t>
                          </w:r>
                          <w:r w:rsidR="00567F23">
                            <w:rPr>
                              <w:b/>
                              <w:sz w:val="24"/>
                            </w:rPr>
                            <w:t xml:space="preserve">. </w:t>
                          </w:r>
                          <w:r w:rsidR="00F5574A">
                            <w:rPr>
                              <w:b/>
                              <w:sz w:val="24"/>
                            </w:rPr>
                            <w:t>MUTUAL CONFIDENTIALITY AGREEMENT</w:t>
                          </w:r>
                        </w:p>
                        <w:p w14:paraId="4C6E1483" w14:textId="77777777" w:rsidR="00C965A7" w:rsidRDefault="00C965A7" w:rsidP="00087DC7">
                          <w:pPr>
                            <w:jc w:val="center"/>
                          </w:pPr>
                        </w:p>
                      </w:txbxContent>
                    </wps:txbx>
                    <wps:bodyPr rtlCol="0" anchor="ctr">
                      <a:noAutofit/>
                    </wps:bodyPr>
                  </wps:wsp>
                </a:graphicData>
              </a:graphic>
              <wp14:sizeRelH relativeFrom="margin">
                <wp14:pctWidth>100000</wp14:pctWidth>
              </wp14:sizeRelH>
              <wp14:sizeRelV relativeFrom="topMargin">
                <wp14:pctHeight>0</wp14:pctHeight>
              </wp14:sizeRelV>
            </wp:anchor>
          </w:drawing>
        </mc:Choice>
        <mc:Fallback>
          <w:pict>
            <v:rect w14:anchorId="4C6E147E" id="Rectangle 6" o:spid="_x0000_s1026" style="position:absolute;left:0;text-align:left;margin-left:0;margin-top:34.5pt;width:468pt;height:33.75pt;z-index:251667456;visibility:visible;mso-wrap-style:square;mso-width-percent:1000;mso-height-percent:0;mso-wrap-distance-left:9pt;mso-wrap-distance-top:0;mso-wrap-distance-right:9pt;mso-wrap-distance-bottom:0;mso-position-horizontal:absolute;mso-position-horizontal-relative:margin;mso-position-vertical:absolute;mso-position-vertical-relative:page;mso-width-percent:100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" fillcolor="#f2f2f2 [3052]" strokecolor="#f2f2f2 [3052]" strokeweight="2pt">
              <v:textbox>
                <w:txbxContent>
                  <w:p w14:paraId="4C6E1482" w14:textId="13EF00BC" w:rsidR="00C965A7" w:rsidRPr="00C965A7" w:rsidRDefault="00524A18" w:rsidP="00F972D9">
                    <w:pPr>
                      <w:spacing w:before="120"/>
                      <w:jc w:val="center"/>
                      <w:rPr>
                        <w:b/>
                        <w:sz w:val="24"/>
                      </w:rPr>
                    </w:pPr>
                    <w:r>
                      <w:rPr>
                        <w:b/>
                        <w:sz w:val="24"/>
                      </w:rPr>
                      <w:t xml:space="preserve">EXHIBIT </w:t>
                    </w:r>
                    <w:r w:rsidR="005915A5">
                      <w:rPr>
                        <w:b/>
                        <w:sz w:val="24"/>
                      </w:rPr>
                      <w:t>D</w:t>
                    </w:r>
                    <w:r w:rsidR="00567F23">
                      <w:rPr>
                        <w:b/>
                        <w:sz w:val="24"/>
                      </w:rPr>
                      <w:t xml:space="preserve">. </w:t>
                    </w:r>
                    <w:r w:rsidR="00F5574A">
                      <w:rPr>
                        <w:b/>
                        <w:sz w:val="24"/>
                      </w:rPr>
                      <w:t>MUTUAL CONFIDENTIALITY AGREEMENT</w:t>
                    </w:r>
                  </w:p>
                  <w:p w14:paraId="4C6E1483" w14:textId="77777777" w:rsidR="00C965A7" w:rsidRDefault="00C965A7" w:rsidP="00087DC7">
                    <w:pPr>
                      <w:jc w:val="center"/>
                    </w:pPr>
                  </w:p>
                </w:txbxContent>
              </v:textbox>
              <w10:wrap anchorx="margin" anchory="page"/>
            </v:rect>
          </w:pict>
        </mc:Fallback>
      </mc:AlternateContent>
    </w:r>
    <w:r>
      <w:rPr>
        <w:noProof/>
        <w:color w:val="4F81BD" w:themeColor="accent1"/>
      </w:rPr>
      <mc:AlternateContent>
        <mc:Choice Requires="wps">
          <w:drawing>
            <wp:anchor distT="0" distB="0" distL="114300" distR="114300" simplePos="0" relativeHeight="251666432" behindDoc="0" locked="0" layoutInCell="1" allowOverlap="1" wp14:anchorId="4C6E1480" wp14:editId="4C6E1481">
              <wp:simplePos x="0" y="0"/>
              <wp:positionH relativeFrom="margin">
                <wp:align>center</wp:align>
              </wp:positionH>
              <wp:positionV relativeFrom="page">
                <wp:align>top</wp:align>
              </wp:positionV>
              <wp:extent cx="5943600" cy="428625"/>
              <wp:effectExtent l="0" t="0" r="0" b="9525"/>
              <wp:wrapNone/>
              <wp:docPr id="7" name="Rectangle 4"/>
              <wp:cNvGraphicFramePr/>
              <a:graphic xmlns:a="http://schemas.openxmlformats.org/drawingml/2006/main">
                <a:graphicData uri="http://schemas.microsoft.com/office/word/2010/wordprocessingShape">
                  <wps:wsp>
                    <wps:cNvSpPr/>
                    <wps:spPr>
                      <a:xfrm>
                        <a:off x="0" y="0"/>
                        <a:ext cx="5943600" cy="42862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6E1484" w14:textId="4A524EE5" w:rsidR="009E5244" w:rsidRDefault="001E447E" w:rsidP="009E5244">
                          <w:pPr>
                            <w:spacing w:before="180" w:after="80"/>
                            <w:jc w:val="center"/>
                            <w:rPr>
                              <w:b/>
                              <w:sz w:val="24"/>
                            </w:rPr>
                          </w:pPr>
                          <w:r>
                            <w:rPr>
                              <w:b/>
                              <w:sz w:val="24"/>
                            </w:rPr>
                            <w:t>202</w:t>
                          </w:r>
                          <w:r w:rsidR="00A01BC7">
                            <w:rPr>
                              <w:b/>
                              <w:sz w:val="24"/>
                            </w:rPr>
                            <w:t>2</w:t>
                          </w:r>
                          <w:r w:rsidR="002A01E8">
                            <w:rPr>
                              <w:b/>
                              <w:sz w:val="24"/>
                            </w:rPr>
                            <w:t xml:space="preserve"> </w:t>
                          </w:r>
                          <w:r w:rsidR="00A01BC7">
                            <w:rPr>
                              <w:b/>
                              <w:sz w:val="24"/>
                            </w:rPr>
                            <w:t>Distributed Energy Resources</w:t>
                          </w:r>
                          <w:r w:rsidR="0050592D">
                            <w:rPr>
                              <w:b/>
                              <w:sz w:val="24"/>
                            </w:rPr>
                            <w:t xml:space="preserve"> RFP</w:t>
                          </w:r>
                        </w:p>
                        <w:p w14:paraId="4C6E1485" w14:textId="77777777" w:rsidR="00C965A7" w:rsidRPr="00C965A7" w:rsidRDefault="00C965A7" w:rsidP="00F972D9">
                          <w:pPr>
                            <w:spacing w:before="180" w:after="80"/>
                            <w:jc w:val="center"/>
                            <w:rPr>
                              <w:b/>
                              <w:sz w:val="24"/>
                            </w:rPr>
                          </w:pPr>
                        </w:p>
                      </w:txbxContent>
                    </wps:txbx>
                    <wps:bodyPr rtlCol="0" anchor="ctr">
                      <a:noAutofit/>
                    </wps:bodyPr>
                  </wps:wsp>
                </a:graphicData>
              </a:graphic>
              <wp14:sizeRelH relativeFrom="margin">
                <wp14:pctWidth>100000</wp14:pctWidth>
              </wp14:sizeRelH>
              <wp14:sizeRelV relativeFrom="topMargin">
                <wp14:pctHeight>0</wp14:pctHeight>
              </wp14:sizeRelV>
            </wp:anchor>
          </w:drawing>
        </mc:Choice>
        <mc:Fallback>
          <w:pict>
            <v:rect w14:anchorId="4C6E1480" id="Rectangle 4" o:spid="_x0000_s1027" style="position:absolute;left:0;text-align:left;margin-left:0;margin-top:0;width:468pt;height:33.75pt;z-index:251666432;visibility:visible;mso-wrap-style:square;mso-width-percent:1000;mso-height-percent:0;mso-wrap-distance-left:9pt;mso-wrap-distance-top:0;mso-wrap-distance-right:9pt;mso-wrap-distance-bottom:0;mso-position-horizontal:center;mso-position-horizontal-relative:margin;mso-position-vertical:top;mso-position-vertical-relative:page;mso-width-percent:100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" fillcolor="#1f497d [3215]" stroked="f" strokeweight="2pt">
              <v:textbox>
                <w:txbxContent>
                  <w:p w14:paraId="4C6E1484" w14:textId="4A524EE5" w:rsidR="009E5244" w:rsidRDefault="001E447E" w:rsidP="009E5244">
                    <w:pPr>
                      <w:spacing w:before="180" w:after="80"/>
                      <w:jc w:val="center"/>
                      <w:rPr>
                        <w:b/>
                        <w:sz w:val="24"/>
                      </w:rPr>
                    </w:pPr>
                    <w:r>
                      <w:rPr>
                        <w:b/>
                        <w:sz w:val="24"/>
                      </w:rPr>
                      <w:t>202</w:t>
                    </w:r>
                    <w:r w:rsidR="00A01BC7">
                      <w:rPr>
                        <w:b/>
                        <w:sz w:val="24"/>
                      </w:rPr>
                      <w:t>2</w:t>
                    </w:r>
                    <w:r w:rsidR="002A01E8">
                      <w:rPr>
                        <w:b/>
                        <w:sz w:val="24"/>
                      </w:rPr>
                      <w:t xml:space="preserve"> </w:t>
                    </w:r>
                    <w:r w:rsidR="00A01BC7">
                      <w:rPr>
                        <w:b/>
                        <w:sz w:val="24"/>
                      </w:rPr>
                      <w:t>Distributed Energy Resources</w:t>
                    </w:r>
                    <w:r w:rsidR="0050592D">
                      <w:rPr>
                        <w:b/>
                        <w:sz w:val="24"/>
                      </w:rPr>
                      <w:t xml:space="preserve"> RFP</w:t>
                    </w:r>
                  </w:p>
                  <w:p w14:paraId="4C6E1485" w14:textId="77777777" w:rsidR="00C965A7" w:rsidRPr="00C965A7" w:rsidRDefault="00C965A7" w:rsidP="00F972D9">
                    <w:pPr>
                      <w:spacing w:before="180" w:after="80"/>
                      <w:jc w:val="center"/>
                      <w:rPr>
                        <w:b/>
                        <w:sz w:val="24"/>
                      </w:rPr>
                    </w:pPr>
                  </w:p>
                </w:txbxContent>
              </v:textbox>
              <w10:wrap anchorx="margin" anchory="page"/>
            </v:rect>
          </w:pict>
        </mc:Fallback>
      </mc:AlternateContent>
    </w:r>
  </w:p>
  <w:p w14:paraId="4C6E1478" w14:textId="77777777" w:rsidR="00C965A7" w:rsidRDefault="00C965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34FAB"/>
    <w:multiLevelType w:val="hybridMultilevel"/>
    <w:tmpl w:val="19949414"/>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3755B43"/>
    <w:multiLevelType w:val="hybridMultilevel"/>
    <w:tmpl w:val="E266E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D3E47"/>
    <w:multiLevelType w:val="hybridMultilevel"/>
    <w:tmpl w:val="BF441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627D19"/>
    <w:multiLevelType w:val="hybridMultilevel"/>
    <w:tmpl w:val="FCF86D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C01F40"/>
    <w:multiLevelType w:val="hybridMultilevel"/>
    <w:tmpl w:val="230872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7B43FD"/>
    <w:multiLevelType w:val="hybridMultilevel"/>
    <w:tmpl w:val="6C8A6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E9151C"/>
    <w:multiLevelType w:val="hybridMultilevel"/>
    <w:tmpl w:val="8A50C0EC"/>
    <w:lvl w:ilvl="0" w:tplc="682CBB58">
      <w:start w:val="1"/>
      <w:numFmt w:val="decimal"/>
      <w:pStyle w:val="TableTitle"/>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 w15:restartNumberingAfterBreak="0">
    <w:nsid w:val="11B15CD4"/>
    <w:multiLevelType w:val="hybridMultilevel"/>
    <w:tmpl w:val="EE829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B4616F"/>
    <w:multiLevelType w:val="hybridMultilevel"/>
    <w:tmpl w:val="50ECE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E9442C"/>
    <w:multiLevelType w:val="hybridMultilevel"/>
    <w:tmpl w:val="2CAADB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E696346"/>
    <w:multiLevelType w:val="hybridMultilevel"/>
    <w:tmpl w:val="8B2A3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6E18C4"/>
    <w:multiLevelType w:val="hybridMultilevel"/>
    <w:tmpl w:val="A31C1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8765D7"/>
    <w:multiLevelType w:val="hybridMultilevel"/>
    <w:tmpl w:val="65340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A433B8"/>
    <w:multiLevelType w:val="hybridMultilevel"/>
    <w:tmpl w:val="BB3A26C0"/>
    <w:lvl w:ilvl="0" w:tplc="D66EEFB8">
      <w:start w:val="1"/>
      <w:numFmt w:val="bullet"/>
      <w:pStyle w:val="Body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D0365E"/>
    <w:multiLevelType w:val="hybridMultilevel"/>
    <w:tmpl w:val="EC3C7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6B1669"/>
    <w:multiLevelType w:val="hybridMultilevel"/>
    <w:tmpl w:val="023E57D8"/>
    <w:lvl w:ilvl="0" w:tplc="41AE2B70">
      <w:start w:val="1"/>
      <w:numFmt w:val="bullet"/>
      <w:pStyle w:val="IRPbullet"/>
      <w:lvlText w:val=""/>
      <w:lvlJc w:val="left"/>
      <w:pPr>
        <w:tabs>
          <w:tab w:val="num" w:pos="720"/>
        </w:tabs>
        <w:ind w:left="720" w:hanging="360"/>
      </w:pPr>
      <w:rPr>
        <w:rFonts w:ascii="Symbol" w:hAnsi="Symbol" w:hint="default"/>
      </w:rPr>
    </w:lvl>
    <w:lvl w:ilvl="1" w:tplc="EF3A1442" w:tentative="1">
      <w:start w:val="1"/>
      <w:numFmt w:val="bullet"/>
      <w:lvlText w:val="o"/>
      <w:lvlJc w:val="left"/>
      <w:pPr>
        <w:tabs>
          <w:tab w:val="num" w:pos="1440"/>
        </w:tabs>
        <w:ind w:left="1440" w:hanging="360"/>
      </w:pPr>
      <w:rPr>
        <w:rFonts w:ascii="Courier New" w:hAnsi="Courier New" w:hint="default"/>
      </w:rPr>
    </w:lvl>
    <w:lvl w:ilvl="2" w:tplc="7F881364" w:tentative="1">
      <w:start w:val="1"/>
      <w:numFmt w:val="bullet"/>
      <w:lvlText w:val=""/>
      <w:lvlJc w:val="left"/>
      <w:pPr>
        <w:tabs>
          <w:tab w:val="num" w:pos="2160"/>
        </w:tabs>
        <w:ind w:left="2160" w:hanging="360"/>
      </w:pPr>
      <w:rPr>
        <w:rFonts w:ascii="Symbol" w:hAnsi="Symbol" w:hint="default"/>
      </w:rPr>
    </w:lvl>
    <w:lvl w:ilvl="3" w:tplc="250C9FC8" w:tentative="1">
      <w:start w:val="1"/>
      <w:numFmt w:val="bullet"/>
      <w:lvlText w:val=""/>
      <w:lvlJc w:val="left"/>
      <w:pPr>
        <w:tabs>
          <w:tab w:val="num" w:pos="2880"/>
        </w:tabs>
        <w:ind w:left="2880" w:hanging="360"/>
      </w:pPr>
      <w:rPr>
        <w:rFonts w:ascii="Symbol" w:hAnsi="Symbol" w:hint="default"/>
      </w:rPr>
    </w:lvl>
    <w:lvl w:ilvl="4" w:tplc="4322E592" w:tentative="1">
      <w:start w:val="1"/>
      <w:numFmt w:val="bullet"/>
      <w:lvlText w:val="o"/>
      <w:lvlJc w:val="left"/>
      <w:pPr>
        <w:tabs>
          <w:tab w:val="num" w:pos="3600"/>
        </w:tabs>
        <w:ind w:left="3600" w:hanging="360"/>
      </w:pPr>
      <w:rPr>
        <w:rFonts w:ascii="Courier New" w:hAnsi="Courier New" w:hint="default"/>
      </w:rPr>
    </w:lvl>
    <w:lvl w:ilvl="5" w:tplc="91446822" w:tentative="1">
      <w:start w:val="1"/>
      <w:numFmt w:val="bullet"/>
      <w:lvlText w:val=""/>
      <w:lvlJc w:val="left"/>
      <w:pPr>
        <w:tabs>
          <w:tab w:val="num" w:pos="4320"/>
        </w:tabs>
        <w:ind w:left="4320" w:hanging="360"/>
      </w:pPr>
      <w:rPr>
        <w:rFonts w:ascii="Symbol" w:hAnsi="Symbol" w:hint="default"/>
      </w:rPr>
    </w:lvl>
    <w:lvl w:ilvl="6" w:tplc="5B7E59FE" w:tentative="1">
      <w:start w:val="1"/>
      <w:numFmt w:val="bullet"/>
      <w:lvlText w:val=""/>
      <w:lvlJc w:val="left"/>
      <w:pPr>
        <w:tabs>
          <w:tab w:val="num" w:pos="5040"/>
        </w:tabs>
        <w:ind w:left="5040" w:hanging="360"/>
      </w:pPr>
      <w:rPr>
        <w:rFonts w:ascii="Symbol" w:hAnsi="Symbol" w:hint="default"/>
      </w:rPr>
    </w:lvl>
    <w:lvl w:ilvl="7" w:tplc="BF38667A" w:tentative="1">
      <w:start w:val="1"/>
      <w:numFmt w:val="bullet"/>
      <w:lvlText w:val="o"/>
      <w:lvlJc w:val="left"/>
      <w:pPr>
        <w:tabs>
          <w:tab w:val="num" w:pos="5760"/>
        </w:tabs>
        <w:ind w:left="5760" w:hanging="360"/>
      </w:pPr>
      <w:rPr>
        <w:rFonts w:ascii="Courier New" w:hAnsi="Courier New" w:hint="default"/>
      </w:rPr>
    </w:lvl>
    <w:lvl w:ilvl="8" w:tplc="C69CF996"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271876DF"/>
    <w:multiLevelType w:val="hybridMultilevel"/>
    <w:tmpl w:val="9BA2FD32"/>
    <w:lvl w:ilvl="0" w:tplc="C4545E06">
      <w:start w:val="1"/>
      <w:numFmt w:val="bullet"/>
      <w:lvlText w:val=""/>
      <w:lvlJc w:val="left"/>
      <w:pPr>
        <w:tabs>
          <w:tab w:val="num" w:pos="720"/>
        </w:tabs>
        <w:ind w:left="720" w:hanging="360"/>
      </w:pPr>
      <w:rPr>
        <w:rFonts w:ascii="Symbol" w:hAnsi="Symbol" w:hint="default"/>
        <w:color w:val="auto"/>
        <w:sz w:val="20"/>
      </w:rPr>
    </w:lvl>
    <w:lvl w:ilvl="1" w:tplc="04090003">
      <w:start w:val="1"/>
      <w:numFmt w:val="bullet"/>
      <w:lvlText w:val="o"/>
      <w:lvlJc w:val="left"/>
      <w:pPr>
        <w:tabs>
          <w:tab w:val="num" w:pos="1440"/>
        </w:tabs>
        <w:ind w:left="1440" w:hanging="360"/>
      </w:pPr>
      <w:rPr>
        <w:rFonts w:ascii="Courier New" w:hAnsi="Courier New" w:cs="Courier New" w:hint="default"/>
        <w:color w:val="auto"/>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BB2293"/>
    <w:multiLevelType w:val="hybridMultilevel"/>
    <w:tmpl w:val="11703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943192"/>
    <w:multiLevelType w:val="hybridMultilevel"/>
    <w:tmpl w:val="DE8E7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AD53A8"/>
    <w:multiLevelType w:val="hybridMultilevel"/>
    <w:tmpl w:val="29B09FD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88E7019"/>
    <w:multiLevelType w:val="hybridMultilevel"/>
    <w:tmpl w:val="468CC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102E12"/>
    <w:multiLevelType w:val="hybridMultilevel"/>
    <w:tmpl w:val="FF145A10"/>
    <w:lvl w:ilvl="0" w:tplc="A816E06A">
      <w:numFmt w:val="bullet"/>
      <w:lvlText w:val="-"/>
      <w:lvlJc w:val="left"/>
      <w:pPr>
        <w:tabs>
          <w:tab w:val="num" w:pos="1665"/>
        </w:tabs>
        <w:ind w:left="1665" w:hanging="360"/>
      </w:pPr>
      <w:rPr>
        <w:rFonts w:ascii="Calibri" w:eastAsia="Times New Roman" w:hAnsi="Calibri" w:hint="default"/>
      </w:rPr>
    </w:lvl>
    <w:lvl w:ilvl="1" w:tplc="04090003">
      <w:start w:val="1"/>
      <w:numFmt w:val="bullet"/>
      <w:lvlText w:val="o"/>
      <w:lvlJc w:val="left"/>
      <w:pPr>
        <w:tabs>
          <w:tab w:val="num" w:pos="2385"/>
        </w:tabs>
        <w:ind w:left="2385"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40E55B37"/>
    <w:multiLevelType w:val="hybridMultilevel"/>
    <w:tmpl w:val="1046A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956A6C"/>
    <w:multiLevelType w:val="hybridMultilevel"/>
    <w:tmpl w:val="D8F6D88C"/>
    <w:lvl w:ilvl="0" w:tplc="EB3AAF3A">
      <w:start w:val="1"/>
      <w:numFmt w:val="bullet"/>
      <w:lvlText w:val=""/>
      <w:lvlJc w:val="left"/>
      <w:pPr>
        <w:tabs>
          <w:tab w:val="num" w:pos="360"/>
        </w:tabs>
        <w:ind w:left="360" w:hanging="360"/>
      </w:pPr>
      <w:rPr>
        <w:rFonts w:ascii="Symbol" w:hAnsi="Symbol" w:hint="default"/>
      </w:rPr>
    </w:lvl>
    <w:lvl w:ilvl="1" w:tplc="F694383A">
      <w:start w:val="1"/>
      <w:numFmt w:val="bullet"/>
      <w:lvlText w:val="o"/>
      <w:lvlJc w:val="left"/>
      <w:pPr>
        <w:tabs>
          <w:tab w:val="num" w:pos="1440"/>
        </w:tabs>
        <w:ind w:left="1440" w:hanging="360"/>
      </w:pPr>
      <w:rPr>
        <w:rFonts w:ascii="Courier New" w:hAnsi="Courier New" w:cs="Courier New" w:hint="default"/>
      </w:rPr>
    </w:lvl>
    <w:lvl w:ilvl="2" w:tplc="74F086FA" w:tentative="1">
      <w:start w:val="1"/>
      <w:numFmt w:val="bullet"/>
      <w:lvlText w:val=""/>
      <w:lvlJc w:val="left"/>
      <w:pPr>
        <w:tabs>
          <w:tab w:val="num" w:pos="2160"/>
        </w:tabs>
        <w:ind w:left="2160" w:hanging="360"/>
      </w:pPr>
      <w:rPr>
        <w:rFonts w:ascii="Wingdings" w:hAnsi="Wingdings" w:hint="default"/>
      </w:rPr>
    </w:lvl>
    <w:lvl w:ilvl="3" w:tplc="AFB6723A" w:tentative="1">
      <w:start w:val="1"/>
      <w:numFmt w:val="bullet"/>
      <w:lvlText w:val=""/>
      <w:lvlJc w:val="left"/>
      <w:pPr>
        <w:tabs>
          <w:tab w:val="num" w:pos="2880"/>
        </w:tabs>
        <w:ind w:left="2880" w:hanging="360"/>
      </w:pPr>
      <w:rPr>
        <w:rFonts w:ascii="Symbol" w:hAnsi="Symbol" w:hint="default"/>
      </w:rPr>
    </w:lvl>
    <w:lvl w:ilvl="4" w:tplc="96DCEFA4" w:tentative="1">
      <w:start w:val="1"/>
      <w:numFmt w:val="bullet"/>
      <w:lvlText w:val="o"/>
      <w:lvlJc w:val="left"/>
      <w:pPr>
        <w:tabs>
          <w:tab w:val="num" w:pos="3600"/>
        </w:tabs>
        <w:ind w:left="3600" w:hanging="360"/>
      </w:pPr>
      <w:rPr>
        <w:rFonts w:ascii="Courier New" w:hAnsi="Courier New" w:cs="Courier New" w:hint="default"/>
      </w:rPr>
    </w:lvl>
    <w:lvl w:ilvl="5" w:tplc="202204CC" w:tentative="1">
      <w:start w:val="1"/>
      <w:numFmt w:val="bullet"/>
      <w:lvlText w:val=""/>
      <w:lvlJc w:val="left"/>
      <w:pPr>
        <w:tabs>
          <w:tab w:val="num" w:pos="4320"/>
        </w:tabs>
        <w:ind w:left="4320" w:hanging="360"/>
      </w:pPr>
      <w:rPr>
        <w:rFonts w:ascii="Wingdings" w:hAnsi="Wingdings" w:hint="default"/>
      </w:rPr>
    </w:lvl>
    <w:lvl w:ilvl="6" w:tplc="76C4A8EC" w:tentative="1">
      <w:start w:val="1"/>
      <w:numFmt w:val="bullet"/>
      <w:lvlText w:val=""/>
      <w:lvlJc w:val="left"/>
      <w:pPr>
        <w:tabs>
          <w:tab w:val="num" w:pos="5040"/>
        </w:tabs>
        <w:ind w:left="5040" w:hanging="360"/>
      </w:pPr>
      <w:rPr>
        <w:rFonts w:ascii="Symbol" w:hAnsi="Symbol" w:hint="default"/>
      </w:rPr>
    </w:lvl>
    <w:lvl w:ilvl="7" w:tplc="0AD4AC76" w:tentative="1">
      <w:start w:val="1"/>
      <w:numFmt w:val="bullet"/>
      <w:lvlText w:val="o"/>
      <w:lvlJc w:val="left"/>
      <w:pPr>
        <w:tabs>
          <w:tab w:val="num" w:pos="5760"/>
        </w:tabs>
        <w:ind w:left="5760" w:hanging="360"/>
      </w:pPr>
      <w:rPr>
        <w:rFonts w:ascii="Courier New" w:hAnsi="Courier New" w:cs="Courier New" w:hint="default"/>
      </w:rPr>
    </w:lvl>
    <w:lvl w:ilvl="8" w:tplc="9E8250C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AE1E92"/>
    <w:multiLevelType w:val="hybridMultilevel"/>
    <w:tmpl w:val="1674D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7E2C06"/>
    <w:multiLevelType w:val="hybridMultilevel"/>
    <w:tmpl w:val="32204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9D2AB0"/>
    <w:multiLevelType w:val="hybridMultilevel"/>
    <w:tmpl w:val="75E8C11C"/>
    <w:lvl w:ilvl="0" w:tplc="CE7C10FA">
      <w:start w:val="1"/>
      <w:numFmt w:val="bullet"/>
      <w:pStyle w:val="TableBody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E847F7"/>
    <w:multiLevelType w:val="hybridMultilevel"/>
    <w:tmpl w:val="030891DA"/>
    <w:lvl w:ilvl="0" w:tplc="04E897B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604503"/>
    <w:multiLevelType w:val="hybridMultilevel"/>
    <w:tmpl w:val="85A0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C0230A"/>
    <w:multiLevelType w:val="hybridMultilevel"/>
    <w:tmpl w:val="CF28C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0A723B"/>
    <w:multiLevelType w:val="hybridMultilevel"/>
    <w:tmpl w:val="6F88468E"/>
    <w:lvl w:ilvl="0" w:tplc="25B873E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E831D51"/>
    <w:multiLevelType w:val="hybridMultilevel"/>
    <w:tmpl w:val="E9F06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A80CFE"/>
    <w:multiLevelType w:val="hybridMultilevel"/>
    <w:tmpl w:val="42BA2408"/>
    <w:lvl w:ilvl="0" w:tplc="04E897B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A9418C"/>
    <w:multiLevelType w:val="hybridMultilevel"/>
    <w:tmpl w:val="B3206A7A"/>
    <w:lvl w:ilvl="0" w:tplc="FA8A4954">
      <w:start w:val="1"/>
      <w:numFmt w:val="bullet"/>
      <w:lvlText w:val=""/>
      <w:lvlJc w:val="left"/>
      <w:pPr>
        <w:tabs>
          <w:tab w:val="num" w:pos="720"/>
        </w:tabs>
        <w:ind w:left="720" w:hanging="360"/>
      </w:pPr>
      <w:rPr>
        <w:rFonts w:ascii="Symbol" w:hAnsi="Symbol" w:hint="default"/>
      </w:rPr>
    </w:lvl>
    <w:lvl w:ilvl="1" w:tplc="864202AE" w:tentative="1">
      <w:start w:val="1"/>
      <w:numFmt w:val="bullet"/>
      <w:lvlText w:val="o"/>
      <w:lvlJc w:val="left"/>
      <w:pPr>
        <w:tabs>
          <w:tab w:val="num" w:pos="1800"/>
        </w:tabs>
        <w:ind w:left="1800" w:hanging="360"/>
      </w:pPr>
      <w:rPr>
        <w:rFonts w:ascii="Courier New" w:hAnsi="Courier New" w:cs="Courier New" w:hint="default"/>
      </w:rPr>
    </w:lvl>
    <w:lvl w:ilvl="2" w:tplc="063CAD2A" w:tentative="1">
      <w:start w:val="1"/>
      <w:numFmt w:val="bullet"/>
      <w:lvlText w:val=""/>
      <w:lvlJc w:val="left"/>
      <w:pPr>
        <w:tabs>
          <w:tab w:val="num" w:pos="2520"/>
        </w:tabs>
        <w:ind w:left="2520" w:hanging="360"/>
      </w:pPr>
      <w:rPr>
        <w:rFonts w:ascii="Wingdings" w:hAnsi="Wingdings" w:hint="default"/>
      </w:rPr>
    </w:lvl>
    <w:lvl w:ilvl="3" w:tplc="D8BC49B6" w:tentative="1">
      <w:start w:val="1"/>
      <w:numFmt w:val="bullet"/>
      <w:lvlText w:val=""/>
      <w:lvlJc w:val="left"/>
      <w:pPr>
        <w:tabs>
          <w:tab w:val="num" w:pos="3240"/>
        </w:tabs>
        <w:ind w:left="3240" w:hanging="360"/>
      </w:pPr>
      <w:rPr>
        <w:rFonts w:ascii="Symbol" w:hAnsi="Symbol" w:hint="default"/>
      </w:rPr>
    </w:lvl>
    <w:lvl w:ilvl="4" w:tplc="31A63360" w:tentative="1">
      <w:start w:val="1"/>
      <w:numFmt w:val="bullet"/>
      <w:lvlText w:val="o"/>
      <w:lvlJc w:val="left"/>
      <w:pPr>
        <w:tabs>
          <w:tab w:val="num" w:pos="3960"/>
        </w:tabs>
        <w:ind w:left="3960" w:hanging="360"/>
      </w:pPr>
      <w:rPr>
        <w:rFonts w:ascii="Courier New" w:hAnsi="Courier New" w:cs="Courier New" w:hint="default"/>
      </w:rPr>
    </w:lvl>
    <w:lvl w:ilvl="5" w:tplc="3C48E444" w:tentative="1">
      <w:start w:val="1"/>
      <w:numFmt w:val="bullet"/>
      <w:lvlText w:val=""/>
      <w:lvlJc w:val="left"/>
      <w:pPr>
        <w:tabs>
          <w:tab w:val="num" w:pos="4680"/>
        </w:tabs>
        <w:ind w:left="4680" w:hanging="360"/>
      </w:pPr>
      <w:rPr>
        <w:rFonts w:ascii="Wingdings" w:hAnsi="Wingdings" w:hint="default"/>
      </w:rPr>
    </w:lvl>
    <w:lvl w:ilvl="6" w:tplc="B1129CBA" w:tentative="1">
      <w:start w:val="1"/>
      <w:numFmt w:val="bullet"/>
      <w:lvlText w:val=""/>
      <w:lvlJc w:val="left"/>
      <w:pPr>
        <w:tabs>
          <w:tab w:val="num" w:pos="5400"/>
        </w:tabs>
        <w:ind w:left="5400" w:hanging="360"/>
      </w:pPr>
      <w:rPr>
        <w:rFonts w:ascii="Symbol" w:hAnsi="Symbol" w:hint="default"/>
      </w:rPr>
    </w:lvl>
    <w:lvl w:ilvl="7" w:tplc="F59ADF98" w:tentative="1">
      <w:start w:val="1"/>
      <w:numFmt w:val="bullet"/>
      <w:lvlText w:val="o"/>
      <w:lvlJc w:val="left"/>
      <w:pPr>
        <w:tabs>
          <w:tab w:val="num" w:pos="6120"/>
        </w:tabs>
        <w:ind w:left="6120" w:hanging="360"/>
      </w:pPr>
      <w:rPr>
        <w:rFonts w:ascii="Courier New" w:hAnsi="Courier New" w:cs="Courier New" w:hint="default"/>
      </w:rPr>
    </w:lvl>
    <w:lvl w:ilvl="8" w:tplc="5CC8F770"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33119F2"/>
    <w:multiLevelType w:val="hybridMultilevel"/>
    <w:tmpl w:val="28A6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AD2401"/>
    <w:multiLevelType w:val="hybridMultilevel"/>
    <w:tmpl w:val="E784671A"/>
    <w:lvl w:ilvl="0" w:tplc="7FB0F79C">
      <w:start w:val="1"/>
      <w:numFmt w:val="bullet"/>
      <w:lvlText w:val=""/>
      <w:lvlJc w:val="left"/>
      <w:pPr>
        <w:tabs>
          <w:tab w:val="num" w:pos="360"/>
        </w:tabs>
        <w:ind w:left="360" w:hanging="360"/>
      </w:pPr>
      <w:rPr>
        <w:rFonts w:ascii="Symbol" w:hAnsi="Symbol" w:hint="default"/>
      </w:rPr>
    </w:lvl>
    <w:lvl w:ilvl="1" w:tplc="DE1684EA">
      <w:start w:val="1"/>
      <w:numFmt w:val="bullet"/>
      <w:lvlText w:val="o"/>
      <w:lvlJc w:val="left"/>
      <w:pPr>
        <w:tabs>
          <w:tab w:val="num" w:pos="1440"/>
        </w:tabs>
        <w:ind w:left="1440" w:hanging="360"/>
      </w:pPr>
      <w:rPr>
        <w:rFonts w:ascii="Courier New" w:hAnsi="Courier New" w:cs="Courier New" w:hint="default"/>
      </w:rPr>
    </w:lvl>
    <w:lvl w:ilvl="2" w:tplc="634CE998" w:tentative="1">
      <w:start w:val="1"/>
      <w:numFmt w:val="bullet"/>
      <w:lvlText w:val=""/>
      <w:lvlJc w:val="left"/>
      <w:pPr>
        <w:tabs>
          <w:tab w:val="num" w:pos="2160"/>
        </w:tabs>
        <w:ind w:left="2160" w:hanging="360"/>
      </w:pPr>
      <w:rPr>
        <w:rFonts w:ascii="Wingdings" w:hAnsi="Wingdings" w:hint="default"/>
      </w:rPr>
    </w:lvl>
    <w:lvl w:ilvl="3" w:tplc="1C901070" w:tentative="1">
      <w:start w:val="1"/>
      <w:numFmt w:val="bullet"/>
      <w:lvlText w:val=""/>
      <w:lvlJc w:val="left"/>
      <w:pPr>
        <w:tabs>
          <w:tab w:val="num" w:pos="2880"/>
        </w:tabs>
        <w:ind w:left="2880" w:hanging="360"/>
      </w:pPr>
      <w:rPr>
        <w:rFonts w:ascii="Symbol" w:hAnsi="Symbol" w:hint="default"/>
      </w:rPr>
    </w:lvl>
    <w:lvl w:ilvl="4" w:tplc="FF08A472" w:tentative="1">
      <w:start w:val="1"/>
      <w:numFmt w:val="bullet"/>
      <w:lvlText w:val="o"/>
      <w:lvlJc w:val="left"/>
      <w:pPr>
        <w:tabs>
          <w:tab w:val="num" w:pos="3600"/>
        </w:tabs>
        <w:ind w:left="3600" w:hanging="360"/>
      </w:pPr>
      <w:rPr>
        <w:rFonts w:ascii="Courier New" w:hAnsi="Courier New" w:cs="Courier New" w:hint="default"/>
      </w:rPr>
    </w:lvl>
    <w:lvl w:ilvl="5" w:tplc="55785310" w:tentative="1">
      <w:start w:val="1"/>
      <w:numFmt w:val="bullet"/>
      <w:lvlText w:val=""/>
      <w:lvlJc w:val="left"/>
      <w:pPr>
        <w:tabs>
          <w:tab w:val="num" w:pos="4320"/>
        </w:tabs>
        <w:ind w:left="4320" w:hanging="360"/>
      </w:pPr>
      <w:rPr>
        <w:rFonts w:ascii="Wingdings" w:hAnsi="Wingdings" w:hint="default"/>
      </w:rPr>
    </w:lvl>
    <w:lvl w:ilvl="6" w:tplc="1658A802" w:tentative="1">
      <w:start w:val="1"/>
      <w:numFmt w:val="bullet"/>
      <w:lvlText w:val=""/>
      <w:lvlJc w:val="left"/>
      <w:pPr>
        <w:tabs>
          <w:tab w:val="num" w:pos="5040"/>
        </w:tabs>
        <w:ind w:left="5040" w:hanging="360"/>
      </w:pPr>
      <w:rPr>
        <w:rFonts w:ascii="Symbol" w:hAnsi="Symbol" w:hint="default"/>
      </w:rPr>
    </w:lvl>
    <w:lvl w:ilvl="7" w:tplc="D236EE26" w:tentative="1">
      <w:start w:val="1"/>
      <w:numFmt w:val="bullet"/>
      <w:lvlText w:val="o"/>
      <w:lvlJc w:val="left"/>
      <w:pPr>
        <w:tabs>
          <w:tab w:val="num" w:pos="5760"/>
        </w:tabs>
        <w:ind w:left="5760" w:hanging="360"/>
      </w:pPr>
      <w:rPr>
        <w:rFonts w:ascii="Courier New" w:hAnsi="Courier New" w:cs="Courier New" w:hint="default"/>
      </w:rPr>
    </w:lvl>
    <w:lvl w:ilvl="8" w:tplc="E41A3EC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591D8C"/>
    <w:multiLevelType w:val="hybridMultilevel"/>
    <w:tmpl w:val="8040A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946053"/>
    <w:multiLevelType w:val="hybridMultilevel"/>
    <w:tmpl w:val="3BC8D2AA"/>
    <w:lvl w:ilvl="0" w:tplc="3CC8112A">
      <w:start w:val="1"/>
      <w:numFmt w:val="decimal"/>
      <w:lvlText w:val="Table %1."/>
      <w:lvlJc w:val="left"/>
      <w:pPr>
        <w:ind w:left="720" w:hanging="360"/>
      </w:pPr>
      <w:rPr>
        <w:rFonts w:ascii="Cambria" w:hAnsi="Cambria" w:hint="default"/>
        <w:b/>
        <w:i/>
        <w:color w:val="365F91" w:themeColor="accent1" w:themeShade="B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8B3FB7"/>
    <w:multiLevelType w:val="hybridMultilevel"/>
    <w:tmpl w:val="3E361A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29624E"/>
    <w:multiLevelType w:val="hybridMultilevel"/>
    <w:tmpl w:val="C91A745E"/>
    <w:lvl w:ilvl="0" w:tplc="952400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38"/>
  </w:num>
  <w:num w:numId="3">
    <w:abstractNumId w:val="17"/>
  </w:num>
  <w:num w:numId="4">
    <w:abstractNumId w:val="20"/>
  </w:num>
  <w:num w:numId="5">
    <w:abstractNumId w:val="7"/>
  </w:num>
  <w:num w:numId="6">
    <w:abstractNumId w:val="31"/>
  </w:num>
  <w:num w:numId="7">
    <w:abstractNumId w:val="28"/>
  </w:num>
  <w:num w:numId="8">
    <w:abstractNumId w:val="24"/>
  </w:num>
  <w:num w:numId="9">
    <w:abstractNumId w:val="39"/>
  </w:num>
  <w:num w:numId="10">
    <w:abstractNumId w:val="3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32"/>
  </w:num>
  <w:num w:numId="13">
    <w:abstractNumId w:val="26"/>
  </w:num>
  <w:num w:numId="14">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1"/>
  </w:num>
  <w:num w:numId="17">
    <w:abstractNumId w:val="4"/>
  </w:num>
  <w:num w:numId="18">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lvlOverride w:ilvl="0">
      <w:startOverride w:val="6"/>
    </w:lvlOverride>
  </w:num>
  <w:num w:numId="20">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18"/>
  </w:num>
  <w:num w:numId="24">
    <w:abstractNumId w:val="22"/>
  </w:num>
  <w:num w:numId="25">
    <w:abstractNumId w:val="10"/>
  </w:num>
  <w:num w:numId="26">
    <w:abstractNumId w:val="12"/>
  </w:num>
  <w:num w:numId="27">
    <w:abstractNumId w:val="3"/>
  </w:num>
  <w:num w:numId="28">
    <w:abstractNumId w:val="34"/>
  </w:num>
  <w:num w:numId="29">
    <w:abstractNumId w:val="2"/>
  </w:num>
  <w:num w:numId="30">
    <w:abstractNumId w:val="30"/>
  </w:num>
  <w:num w:numId="31">
    <w:abstractNumId w:val="19"/>
  </w:num>
  <w:num w:numId="32">
    <w:abstractNumId w:val="6"/>
  </w:num>
  <w:num w:numId="33">
    <w:abstractNumId w:val="37"/>
  </w:num>
  <w:num w:numId="34">
    <w:abstractNumId w:val="14"/>
  </w:num>
  <w:num w:numId="35">
    <w:abstractNumId w:val="29"/>
  </w:num>
  <w:num w:numId="36">
    <w:abstractNumId w:val="8"/>
  </w:num>
  <w:num w:numId="37">
    <w:abstractNumId w:val="25"/>
  </w:num>
  <w:num w:numId="38">
    <w:abstractNumId w:val="15"/>
  </w:num>
  <w:num w:numId="39">
    <w:abstractNumId w:val="1"/>
  </w:num>
  <w:num w:numId="40">
    <w:abstractNumId w:val="6"/>
    <w:lvlOverride w:ilvl="0">
      <w:startOverride w:val="1"/>
    </w:lvlOverride>
  </w:num>
  <w:num w:numId="41">
    <w:abstractNumId w:val="23"/>
  </w:num>
  <w:num w:numId="42">
    <w:abstractNumId w:val="0"/>
  </w:num>
  <w:num w:numId="43">
    <w:abstractNumId w:val="13"/>
  </w:num>
  <w:num w:numId="44">
    <w:abstractNumId w:val="35"/>
  </w:num>
  <w:num w:numId="45">
    <w:abstractNumId w:val="33"/>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A36"/>
    <w:rsid w:val="0002027C"/>
    <w:rsid w:val="000370E4"/>
    <w:rsid w:val="0004394A"/>
    <w:rsid w:val="00051212"/>
    <w:rsid w:val="000528F8"/>
    <w:rsid w:val="000676B3"/>
    <w:rsid w:val="00076701"/>
    <w:rsid w:val="00077336"/>
    <w:rsid w:val="000800BF"/>
    <w:rsid w:val="00087DC7"/>
    <w:rsid w:val="000938C7"/>
    <w:rsid w:val="00097A09"/>
    <w:rsid w:val="000A1D33"/>
    <w:rsid w:val="000B326E"/>
    <w:rsid w:val="000B5998"/>
    <w:rsid w:val="000D2F3B"/>
    <w:rsid w:val="000E4090"/>
    <w:rsid w:val="000E4D70"/>
    <w:rsid w:val="000F16AA"/>
    <w:rsid w:val="00113EE5"/>
    <w:rsid w:val="00135253"/>
    <w:rsid w:val="00143214"/>
    <w:rsid w:val="001601CB"/>
    <w:rsid w:val="00163F07"/>
    <w:rsid w:val="00184E03"/>
    <w:rsid w:val="00192B5F"/>
    <w:rsid w:val="00197684"/>
    <w:rsid w:val="001A50D9"/>
    <w:rsid w:val="001C1DE8"/>
    <w:rsid w:val="001C7FAE"/>
    <w:rsid w:val="001D391E"/>
    <w:rsid w:val="001D6FA0"/>
    <w:rsid w:val="001D7E8C"/>
    <w:rsid w:val="001E2A11"/>
    <w:rsid w:val="001E447E"/>
    <w:rsid w:val="0020130C"/>
    <w:rsid w:val="00204DC8"/>
    <w:rsid w:val="00205F92"/>
    <w:rsid w:val="00214858"/>
    <w:rsid w:val="002227E4"/>
    <w:rsid w:val="002239D3"/>
    <w:rsid w:val="00231BD5"/>
    <w:rsid w:val="00243D86"/>
    <w:rsid w:val="00256C2C"/>
    <w:rsid w:val="00263173"/>
    <w:rsid w:val="00263312"/>
    <w:rsid w:val="00264D2E"/>
    <w:rsid w:val="002669CD"/>
    <w:rsid w:val="002731DD"/>
    <w:rsid w:val="00282D64"/>
    <w:rsid w:val="0028543D"/>
    <w:rsid w:val="00294922"/>
    <w:rsid w:val="00297EA0"/>
    <w:rsid w:val="002A01E8"/>
    <w:rsid w:val="002A39F9"/>
    <w:rsid w:val="002C3EB7"/>
    <w:rsid w:val="002D248F"/>
    <w:rsid w:val="002E39A2"/>
    <w:rsid w:val="002E4A4D"/>
    <w:rsid w:val="002F2092"/>
    <w:rsid w:val="00307228"/>
    <w:rsid w:val="00310FF0"/>
    <w:rsid w:val="0031129B"/>
    <w:rsid w:val="003112AA"/>
    <w:rsid w:val="00315D31"/>
    <w:rsid w:val="00316334"/>
    <w:rsid w:val="00324140"/>
    <w:rsid w:val="00343DC6"/>
    <w:rsid w:val="00346003"/>
    <w:rsid w:val="00353910"/>
    <w:rsid w:val="003576B0"/>
    <w:rsid w:val="00357980"/>
    <w:rsid w:val="003661DA"/>
    <w:rsid w:val="00366D58"/>
    <w:rsid w:val="0036718E"/>
    <w:rsid w:val="00370453"/>
    <w:rsid w:val="003769E2"/>
    <w:rsid w:val="00381D61"/>
    <w:rsid w:val="00392707"/>
    <w:rsid w:val="003A2FDE"/>
    <w:rsid w:val="003B4BCF"/>
    <w:rsid w:val="003B6012"/>
    <w:rsid w:val="00414CE0"/>
    <w:rsid w:val="00422AAC"/>
    <w:rsid w:val="00426200"/>
    <w:rsid w:val="00432DD9"/>
    <w:rsid w:val="00433B8B"/>
    <w:rsid w:val="00441762"/>
    <w:rsid w:val="00446D61"/>
    <w:rsid w:val="004471A6"/>
    <w:rsid w:val="00451FE2"/>
    <w:rsid w:val="004611D8"/>
    <w:rsid w:val="0047002F"/>
    <w:rsid w:val="00471D21"/>
    <w:rsid w:val="00474FC5"/>
    <w:rsid w:val="0049226B"/>
    <w:rsid w:val="004B11A4"/>
    <w:rsid w:val="004B5831"/>
    <w:rsid w:val="004B7017"/>
    <w:rsid w:val="004D5085"/>
    <w:rsid w:val="004D7205"/>
    <w:rsid w:val="004E6C4F"/>
    <w:rsid w:val="004F2E67"/>
    <w:rsid w:val="004F63BF"/>
    <w:rsid w:val="00501414"/>
    <w:rsid w:val="00501D11"/>
    <w:rsid w:val="00502671"/>
    <w:rsid w:val="0050592D"/>
    <w:rsid w:val="0051037B"/>
    <w:rsid w:val="005125DA"/>
    <w:rsid w:val="005172DE"/>
    <w:rsid w:val="00524A18"/>
    <w:rsid w:val="005266CC"/>
    <w:rsid w:val="00532B06"/>
    <w:rsid w:val="0053313C"/>
    <w:rsid w:val="00533590"/>
    <w:rsid w:val="00540A36"/>
    <w:rsid w:val="00540B43"/>
    <w:rsid w:val="005443B1"/>
    <w:rsid w:val="00546955"/>
    <w:rsid w:val="00550D36"/>
    <w:rsid w:val="00555D96"/>
    <w:rsid w:val="00567F23"/>
    <w:rsid w:val="005744EE"/>
    <w:rsid w:val="005748E2"/>
    <w:rsid w:val="005871AA"/>
    <w:rsid w:val="0059151E"/>
    <w:rsid w:val="005915A5"/>
    <w:rsid w:val="005A11F2"/>
    <w:rsid w:val="005A1686"/>
    <w:rsid w:val="005A46D0"/>
    <w:rsid w:val="005A68F8"/>
    <w:rsid w:val="005A72B1"/>
    <w:rsid w:val="005C3AD6"/>
    <w:rsid w:val="005D3ED6"/>
    <w:rsid w:val="005D46C3"/>
    <w:rsid w:val="005E2AAD"/>
    <w:rsid w:val="005F5F7A"/>
    <w:rsid w:val="005F7925"/>
    <w:rsid w:val="0060585D"/>
    <w:rsid w:val="0062332B"/>
    <w:rsid w:val="006244A1"/>
    <w:rsid w:val="0063309B"/>
    <w:rsid w:val="00637CB3"/>
    <w:rsid w:val="00646993"/>
    <w:rsid w:val="00651A2B"/>
    <w:rsid w:val="0065491E"/>
    <w:rsid w:val="00663BF3"/>
    <w:rsid w:val="00667EC5"/>
    <w:rsid w:val="00673F6E"/>
    <w:rsid w:val="006814C8"/>
    <w:rsid w:val="00681FF6"/>
    <w:rsid w:val="00692C1F"/>
    <w:rsid w:val="006A20D3"/>
    <w:rsid w:val="006B1ADB"/>
    <w:rsid w:val="006C4B22"/>
    <w:rsid w:val="006F4FDE"/>
    <w:rsid w:val="007048E9"/>
    <w:rsid w:val="00730083"/>
    <w:rsid w:val="00755EB1"/>
    <w:rsid w:val="00763731"/>
    <w:rsid w:val="00764967"/>
    <w:rsid w:val="00765F23"/>
    <w:rsid w:val="0077139A"/>
    <w:rsid w:val="007817A7"/>
    <w:rsid w:val="007834CD"/>
    <w:rsid w:val="007875B4"/>
    <w:rsid w:val="00792849"/>
    <w:rsid w:val="007A2A79"/>
    <w:rsid w:val="007A2A8A"/>
    <w:rsid w:val="007D524A"/>
    <w:rsid w:val="007E03FE"/>
    <w:rsid w:val="007E1266"/>
    <w:rsid w:val="007F1B4E"/>
    <w:rsid w:val="007F5ABA"/>
    <w:rsid w:val="007F6E71"/>
    <w:rsid w:val="007F7C34"/>
    <w:rsid w:val="008124B7"/>
    <w:rsid w:val="00812C5B"/>
    <w:rsid w:val="008347F2"/>
    <w:rsid w:val="00841066"/>
    <w:rsid w:val="00841F84"/>
    <w:rsid w:val="00856A16"/>
    <w:rsid w:val="00865064"/>
    <w:rsid w:val="00873ADC"/>
    <w:rsid w:val="00892CCE"/>
    <w:rsid w:val="00893FA4"/>
    <w:rsid w:val="008A5C42"/>
    <w:rsid w:val="008A76C6"/>
    <w:rsid w:val="008B09D8"/>
    <w:rsid w:val="008B6E4A"/>
    <w:rsid w:val="008C5783"/>
    <w:rsid w:val="008C601F"/>
    <w:rsid w:val="008D3DD6"/>
    <w:rsid w:val="008E5596"/>
    <w:rsid w:val="008E5BA4"/>
    <w:rsid w:val="00905938"/>
    <w:rsid w:val="0091502F"/>
    <w:rsid w:val="00927ADA"/>
    <w:rsid w:val="00930B79"/>
    <w:rsid w:val="00943CA2"/>
    <w:rsid w:val="00945A1D"/>
    <w:rsid w:val="00955E50"/>
    <w:rsid w:val="00957942"/>
    <w:rsid w:val="009652FA"/>
    <w:rsid w:val="0097135C"/>
    <w:rsid w:val="00982713"/>
    <w:rsid w:val="00982C1F"/>
    <w:rsid w:val="009A0919"/>
    <w:rsid w:val="009A19A6"/>
    <w:rsid w:val="009A6E2E"/>
    <w:rsid w:val="009C1C97"/>
    <w:rsid w:val="009C3B8A"/>
    <w:rsid w:val="009C5EC5"/>
    <w:rsid w:val="009C71D0"/>
    <w:rsid w:val="009D0B86"/>
    <w:rsid w:val="009D2153"/>
    <w:rsid w:val="009D44A5"/>
    <w:rsid w:val="009E1C6D"/>
    <w:rsid w:val="009E5244"/>
    <w:rsid w:val="009E7A37"/>
    <w:rsid w:val="00A01BC7"/>
    <w:rsid w:val="00A31020"/>
    <w:rsid w:val="00A3296C"/>
    <w:rsid w:val="00A5306F"/>
    <w:rsid w:val="00A615AC"/>
    <w:rsid w:val="00A61AD4"/>
    <w:rsid w:val="00A626A8"/>
    <w:rsid w:val="00A72930"/>
    <w:rsid w:val="00A742F8"/>
    <w:rsid w:val="00A7742C"/>
    <w:rsid w:val="00A8006A"/>
    <w:rsid w:val="00A846FC"/>
    <w:rsid w:val="00A9071E"/>
    <w:rsid w:val="00AA0595"/>
    <w:rsid w:val="00AA248D"/>
    <w:rsid w:val="00AB19C8"/>
    <w:rsid w:val="00AB3186"/>
    <w:rsid w:val="00AB740C"/>
    <w:rsid w:val="00AC7E97"/>
    <w:rsid w:val="00AD0999"/>
    <w:rsid w:val="00AD5BEE"/>
    <w:rsid w:val="00AD5DA0"/>
    <w:rsid w:val="00AE19E6"/>
    <w:rsid w:val="00AE658F"/>
    <w:rsid w:val="00AF1760"/>
    <w:rsid w:val="00B023FB"/>
    <w:rsid w:val="00B17BDB"/>
    <w:rsid w:val="00B37963"/>
    <w:rsid w:val="00B406FF"/>
    <w:rsid w:val="00B6119C"/>
    <w:rsid w:val="00B7131F"/>
    <w:rsid w:val="00B76A30"/>
    <w:rsid w:val="00B82823"/>
    <w:rsid w:val="00B8475C"/>
    <w:rsid w:val="00B87D3C"/>
    <w:rsid w:val="00B9496A"/>
    <w:rsid w:val="00BA2916"/>
    <w:rsid w:val="00BB352D"/>
    <w:rsid w:val="00BC1116"/>
    <w:rsid w:val="00BC60AE"/>
    <w:rsid w:val="00BD7F02"/>
    <w:rsid w:val="00C026D8"/>
    <w:rsid w:val="00C0437E"/>
    <w:rsid w:val="00C12D46"/>
    <w:rsid w:val="00C24FC0"/>
    <w:rsid w:val="00C31ED3"/>
    <w:rsid w:val="00C36AA8"/>
    <w:rsid w:val="00C553AF"/>
    <w:rsid w:val="00C64E2E"/>
    <w:rsid w:val="00C662AE"/>
    <w:rsid w:val="00C77E39"/>
    <w:rsid w:val="00C77FB5"/>
    <w:rsid w:val="00C820C2"/>
    <w:rsid w:val="00C91C7A"/>
    <w:rsid w:val="00C932C6"/>
    <w:rsid w:val="00C9369E"/>
    <w:rsid w:val="00C965A7"/>
    <w:rsid w:val="00CA120F"/>
    <w:rsid w:val="00CB18DC"/>
    <w:rsid w:val="00CC7C13"/>
    <w:rsid w:val="00CC7C6B"/>
    <w:rsid w:val="00CE00EF"/>
    <w:rsid w:val="00CE44AB"/>
    <w:rsid w:val="00CE4EDA"/>
    <w:rsid w:val="00CF62E6"/>
    <w:rsid w:val="00D047FB"/>
    <w:rsid w:val="00D07710"/>
    <w:rsid w:val="00D2076B"/>
    <w:rsid w:val="00D348E7"/>
    <w:rsid w:val="00D41BC3"/>
    <w:rsid w:val="00D46B72"/>
    <w:rsid w:val="00D51BC2"/>
    <w:rsid w:val="00D51E30"/>
    <w:rsid w:val="00D52319"/>
    <w:rsid w:val="00D61E8B"/>
    <w:rsid w:val="00D77C32"/>
    <w:rsid w:val="00DA7EA8"/>
    <w:rsid w:val="00DB15A2"/>
    <w:rsid w:val="00DC034B"/>
    <w:rsid w:val="00DD0FF4"/>
    <w:rsid w:val="00DD1A1D"/>
    <w:rsid w:val="00DD39DF"/>
    <w:rsid w:val="00DE03E2"/>
    <w:rsid w:val="00DE675D"/>
    <w:rsid w:val="00E0083E"/>
    <w:rsid w:val="00E03D86"/>
    <w:rsid w:val="00E14440"/>
    <w:rsid w:val="00E164A7"/>
    <w:rsid w:val="00E2023B"/>
    <w:rsid w:val="00E21B73"/>
    <w:rsid w:val="00E47AD8"/>
    <w:rsid w:val="00E5025D"/>
    <w:rsid w:val="00E56482"/>
    <w:rsid w:val="00E56E7B"/>
    <w:rsid w:val="00E74221"/>
    <w:rsid w:val="00E80F92"/>
    <w:rsid w:val="00E977C1"/>
    <w:rsid w:val="00EA430E"/>
    <w:rsid w:val="00ED17E9"/>
    <w:rsid w:val="00ED2BEC"/>
    <w:rsid w:val="00ED2BF0"/>
    <w:rsid w:val="00ED329D"/>
    <w:rsid w:val="00ED6CD9"/>
    <w:rsid w:val="00EF4EFB"/>
    <w:rsid w:val="00F45E27"/>
    <w:rsid w:val="00F50C54"/>
    <w:rsid w:val="00F51483"/>
    <w:rsid w:val="00F5574A"/>
    <w:rsid w:val="00F57DDA"/>
    <w:rsid w:val="00F75DC5"/>
    <w:rsid w:val="00F8496C"/>
    <w:rsid w:val="00F8565F"/>
    <w:rsid w:val="00F934B7"/>
    <w:rsid w:val="00F972D9"/>
    <w:rsid w:val="00F97F6C"/>
    <w:rsid w:val="00FA624D"/>
    <w:rsid w:val="00FB4DD5"/>
    <w:rsid w:val="00FB6ADA"/>
    <w:rsid w:val="00FE071C"/>
    <w:rsid w:val="00FE4FBB"/>
    <w:rsid w:val="00FF5683"/>
    <w:rsid w:val="00FF7BE9"/>
    <w:rsid w:val="00FF7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C6E1445"/>
  <w15:docId w15:val="{C91234F4-38AB-4298-ADF0-22EB5B6B1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D0F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rsid w:val="00E144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46D6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406FF"/>
    <w:pPr>
      <w:ind w:left="720"/>
      <w:contextualSpacing/>
    </w:pPr>
  </w:style>
  <w:style w:type="paragraph" w:customStyle="1" w:styleId="Subhead2">
    <w:name w:val="Subhead2"/>
    <w:basedOn w:val="ListParagraph"/>
    <w:link w:val="Subhead2Char"/>
    <w:qFormat/>
    <w:rsid w:val="0028543D"/>
    <w:pPr>
      <w:spacing w:before="360" w:after="240"/>
      <w:ind w:left="0"/>
    </w:pPr>
    <w:rPr>
      <w:b/>
      <w:color w:val="808080" w:themeColor="background1" w:themeShade="80"/>
      <w:sz w:val="26"/>
      <w:szCs w:val="26"/>
    </w:rPr>
  </w:style>
  <w:style w:type="paragraph" w:customStyle="1" w:styleId="Subhead1">
    <w:name w:val="Subhead1"/>
    <w:basedOn w:val="ListParagraph"/>
    <w:link w:val="Subhead1Char"/>
    <w:qFormat/>
    <w:rsid w:val="00982C1F"/>
    <w:pPr>
      <w:spacing w:before="480" w:after="360"/>
      <w:ind w:left="360"/>
    </w:pPr>
    <w:rPr>
      <w:rFonts w:asciiTheme="majorHAnsi" w:hAnsiTheme="majorHAnsi"/>
      <w:b/>
      <w:i/>
      <w:color w:val="365F91" w:themeColor="accent1" w:themeShade="BF"/>
      <w:sz w:val="28"/>
      <w:szCs w:val="28"/>
    </w:rPr>
  </w:style>
  <w:style w:type="paragraph" w:styleId="Header">
    <w:name w:val="header"/>
    <w:basedOn w:val="Normal"/>
    <w:link w:val="HeaderChar"/>
    <w:uiPriority w:val="99"/>
    <w:unhideWhenUsed/>
    <w:rsid w:val="0049226B"/>
    <w:pPr>
      <w:tabs>
        <w:tab w:val="center" w:pos="4680"/>
        <w:tab w:val="right" w:pos="9360"/>
      </w:tabs>
      <w:spacing w:after="0" w:line="240" w:lineRule="auto"/>
    </w:pPr>
  </w:style>
  <w:style w:type="character" w:customStyle="1" w:styleId="ListParagraphChar">
    <w:name w:val="List Paragraph Char"/>
    <w:basedOn w:val="DefaultParagraphFont"/>
    <w:link w:val="ListParagraph"/>
    <w:uiPriority w:val="34"/>
    <w:rsid w:val="00943CA2"/>
  </w:style>
  <w:style w:type="character" w:customStyle="1" w:styleId="Subhead1Char">
    <w:name w:val="Subhead1 Char"/>
    <w:basedOn w:val="ListParagraphChar"/>
    <w:link w:val="Subhead1"/>
    <w:rsid w:val="00982C1F"/>
    <w:rPr>
      <w:rFonts w:asciiTheme="majorHAnsi" w:hAnsiTheme="majorHAnsi"/>
      <w:b/>
      <w:i/>
      <w:color w:val="365F91" w:themeColor="accent1" w:themeShade="BF"/>
      <w:sz w:val="28"/>
      <w:szCs w:val="28"/>
    </w:rPr>
  </w:style>
  <w:style w:type="character" w:customStyle="1" w:styleId="Subhead2Char">
    <w:name w:val="Subhead2 Char"/>
    <w:basedOn w:val="ListParagraphChar"/>
    <w:link w:val="Subhead2"/>
    <w:rsid w:val="0028543D"/>
    <w:rPr>
      <w:b/>
      <w:color w:val="808080" w:themeColor="background1" w:themeShade="80"/>
      <w:sz w:val="26"/>
      <w:szCs w:val="26"/>
    </w:rPr>
  </w:style>
  <w:style w:type="character" w:customStyle="1" w:styleId="HeaderChar">
    <w:name w:val="Header Char"/>
    <w:basedOn w:val="DefaultParagraphFont"/>
    <w:link w:val="Header"/>
    <w:uiPriority w:val="99"/>
    <w:rsid w:val="0049226B"/>
  </w:style>
  <w:style w:type="paragraph" w:styleId="Footer">
    <w:name w:val="footer"/>
    <w:aliases w:val="Page#"/>
    <w:basedOn w:val="Normal"/>
    <w:link w:val="FooterChar"/>
    <w:uiPriority w:val="99"/>
    <w:unhideWhenUsed/>
    <w:rsid w:val="0049226B"/>
    <w:pPr>
      <w:tabs>
        <w:tab w:val="center" w:pos="4680"/>
        <w:tab w:val="right" w:pos="9360"/>
      </w:tabs>
      <w:spacing w:after="0" w:line="240" w:lineRule="auto"/>
    </w:pPr>
  </w:style>
  <w:style w:type="character" w:customStyle="1" w:styleId="FooterChar">
    <w:name w:val="Footer Char"/>
    <w:aliases w:val="Page# Char"/>
    <w:basedOn w:val="DefaultParagraphFont"/>
    <w:link w:val="Footer"/>
    <w:uiPriority w:val="99"/>
    <w:rsid w:val="0049226B"/>
  </w:style>
  <w:style w:type="paragraph" w:customStyle="1" w:styleId="B7A3AA4F82F84F2E8D122C3B6DBBE8C9">
    <w:name w:val="B7A3AA4F82F84F2E8D122C3B6DBBE8C9"/>
    <w:rsid w:val="0049226B"/>
    <w:rPr>
      <w:rFonts w:eastAsiaTheme="minorEastAsia"/>
    </w:rPr>
  </w:style>
  <w:style w:type="paragraph" w:styleId="BalloonText">
    <w:name w:val="Balloon Text"/>
    <w:basedOn w:val="Normal"/>
    <w:link w:val="BalloonTextChar"/>
    <w:uiPriority w:val="99"/>
    <w:semiHidden/>
    <w:unhideWhenUsed/>
    <w:rsid w:val="004922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26B"/>
    <w:rPr>
      <w:rFonts w:ascii="Tahoma" w:hAnsi="Tahoma" w:cs="Tahoma"/>
      <w:sz w:val="16"/>
      <w:szCs w:val="16"/>
    </w:rPr>
  </w:style>
  <w:style w:type="paragraph" w:customStyle="1" w:styleId="BodyText">
    <w:name w:val="BodyText"/>
    <w:basedOn w:val="BodyText0"/>
    <w:link w:val="BodyTextChar"/>
    <w:qFormat/>
    <w:rsid w:val="001C7FAE"/>
    <w:pPr>
      <w:spacing w:before="120" w:after="240" w:line="240" w:lineRule="auto"/>
      <w:jc w:val="both"/>
    </w:pPr>
    <w:rPr>
      <w:sz w:val="24"/>
      <w:szCs w:val="24"/>
    </w:rPr>
  </w:style>
  <w:style w:type="character" w:customStyle="1" w:styleId="CommentTextChar">
    <w:name w:val="Comment Text Char"/>
    <w:basedOn w:val="DefaultParagraphFont"/>
    <w:link w:val="CommentText"/>
    <w:semiHidden/>
    <w:locked/>
    <w:rsid w:val="007875B4"/>
    <w:rPr>
      <w:rFonts w:ascii="Calibri" w:hAnsi="Calibri"/>
    </w:rPr>
  </w:style>
  <w:style w:type="character" w:customStyle="1" w:styleId="BodyTextChar">
    <w:name w:val="BodyText Char"/>
    <w:basedOn w:val="Subhead2Char"/>
    <w:link w:val="BodyText"/>
    <w:rsid w:val="001C7FAE"/>
    <w:rPr>
      <w:b w:val="0"/>
      <w:color w:val="808080" w:themeColor="background1" w:themeShade="80"/>
      <w:sz w:val="24"/>
      <w:szCs w:val="24"/>
    </w:rPr>
  </w:style>
  <w:style w:type="paragraph" w:styleId="CommentText">
    <w:name w:val="annotation text"/>
    <w:basedOn w:val="Normal"/>
    <w:link w:val="CommentTextChar"/>
    <w:semiHidden/>
    <w:rsid w:val="007875B4"/>
    <w:pPr>
      <w:spacing w:line="240" w:lineRule="auto"/>
    </w:pPr>
    <w:rPr>
      <w:rFonts w:ascii="Calibri" w:hAnsi="Calibri"/>
    </w:rPr>
  </w:style>
  <w:style w:type="character" w:customStyle="1" w:styleId="CommentTextChar1">
    <w:name w:val="Comment Text Char1"/>
    <w:basedOn w:val="DefaultParagraphFont"/>
    <w:uiPriority w:val="99"/>
    <w:semiHidden/>
    <w:rsid w:val="007875B4"/>
    <w:rPr>
      <w:sz w:val="20"/>
      <w:szCs w:val="20"/>
    </w:rPr>
  </w:style>
  <w:style w:type="character" w:styleId="CommentReference">
    <w:name w:val="annotation reference"/>
    <w:basedOn w:val="DefaultParagraphFont"/>
    <w:semiHidden/>
    <w:rsid w:val="007875B4"/>
    <w:rPr>
      <w:rFonts w:ascii="Times New Roman" w:hAnsi="Times New Roman" w:cs="Times New Roman" w:hint="default"/>
      <w:sz w:val="16"/>
      <w:szCs w:val="16"/>
    </w:rPr>
  </w:style>
  <w:style w:type="paragraph" w:customStyle="1" w:styleId="TableBodyBullets">
    <w:name w:val="TableBodyBullets"/>
    <w:link w:val="TableBodyBulletsChar"/>
    <w:qFormat/>
    <w:rsid w:val="00AE658F"/>
    <w:pPr>
      <w:numPr>
        <w:numId w:val="13"/>
      </w:numPr>
      <w:spacing w:before="40" w:after="40" w:line="240" w:lineRule="auto"/>
    </w:pPr>
    <w:rPr>
      <w:sz w:val="24"/>
      <w:szCs w:val="24"/>
    </w:rPr>
  </w:style>
  <w:style w:type="paragraph" w:customStyle="1" w:styleId="SidebarBodyText">
    <w:name w:val="Sidebar Body Text"/>
    <w:basedOn w:val="Normal"/>
    <w:link w:val="SidebarBodyTextChar"/>
    <w:qFormat/>
    <w:rsid w:val="00E977C1"/>
    <w:pPr>
      <w:spacing w:after="120"/>
    </w:pPr>
    <w:rPr>
      <w:color w:val="808080" w:themeColor="background1" w:themeShade="80"/>
      <w:sz w:val="24"/>
    </w:rPr>
  </w:style>
  <w:style w:type="character" w:customStyle="1" w:styleId="TableBodyBulletsChar">
    <w:name w:val="TableBodyBullets Char"/>
    <w:basedOn w:val="BodyTextChar"/>
    <w:link w:val="TableBodyBullets"/>
    <w:rsid w:val="00AE658F"/>
    <w:rPr>
      <w:b w:val="0"/>
      <w:color w:val="808080" w:themeColor="background1" w:themeShade="80"/>
      <w:sz w:val="24"/>
      <w:szCs w:val="24"/>
    </w:rPr>
  </w:style>
  <w:style w:type="paragraph" w:customStyle="1" w:styleId="CalloutBoxTitles">
    <w:name w:val="Callout Box Titles"/>
    <w:basedOn w:val="Normal"/>
    <w:link w:val="CalloutBoxTitlesChar"/>
    <w:qFormat/>
    <w:rsid w:val="003769E2"/>
    <w:pPr>
      <w:spacing w:after="120"/>
      <w:jc w:val="center"/>
    </w:pPr>
    <w:rPr>
      <w:rFonts w:ascii="Cambria" w:hAnsi="Cambria"/>
      <w:iCs/>
      <w:color w:val="365F91" w:themeColor="accent1" w:themeShade="BF"/>
      <w:sz w:val="32"/>
    </w:rPr>
  </w:style>
  <w:style w:type="character" w:customStyle="1" w:styleId="Heading1Char">
    <w:name w:val="Heading 1 Char"/>
    <w:basedOn w:val="DefaultParagraphFont"/>
    <w:link w:val="Heading1"/>
    <w:uiPriority w:val="9"/>
    <w:rsid w:val="00DD0FF4"/>
    <w:rPr>
      <w:rFonts w:asciiTheme="majorHAnsi" w:eastAsiaTheme="majorEastAsia" w:hAnsiTheme="majorHAnsi" w:cstheme="majorBidi"/>
      <w:b/>
      <w:bCs/>
      <w:color w:val="365F91" w:themeColor="accent1" w:themeShade="BF"/>
      <w:sz w:val="28"/>
      <w:szCs w:val="28"/>
    </w:rPr>
  </w:style>
  <w:style w:type="paragraph" w:customStyle="1" w:styleId="BodyTextEmphasis">
    <w:name w:val="BodyTextEmphasis"/>
    <w:link w:val="BodyTextEmphasisChar"/>
    <w:qFormat/>
    <w:rsid w:val="00ED17E9"/>
    <w:pPr>
      <w:spacing w:after="120"/>
    </w:pPr>
    <w:rPr>
      <w:b/>
      <w:i/>
      <w:color w:val="000000" w:themeColor="text1"/>
      <w:sz w:val="24"/>
      <w:szCs w:val="24"/>
    </w:rPr>
  </w:style>
  <w:style w:type="table" w:styleId="TableGrid">
    <w:name w:val="Table Grid"/>
    <w:basedOn w:val="TableNormal"/>
    <w:uiPriority w:val="59"/>
    <w:rsid w:val="004F63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EmphasisChar">
    <w:name w:val="BodyTextEmphasis Char"/>
    <w:basedOn w:val="BodyTextChar"/>
    <w:link w:val="BodyTextEmphasis"/>
    <w:rsid w:val="00ED17E9"/>
    <w:rPr>
      <w:b/>
      <w:i/>
      <w:color w:val="000000" w:themeColor="text1"/>
      <w:sz w:val="24"/>
      <w:szCs w:val="24"/>
    </w:rPr>
  </w:style>
  <w:style w:type="paragraph" w:styleId="FootnoteText">
    <w:name w:val="footnote text"/>
    <w:basedOn w:val="Normal"/>
    <w:link w:val="FootnoteTextChar"/>
    <w:uiPriority w:val="99"/>
    <w:semiHidden/>
    <w:unhideWhenUsed/>
    <w:rsid w:val="00184E0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4E03"/>
    <w:rPr>
      <w:sz w:val="20"/>
      <w:szCs w:val="20"/>
    </w:rPr>
  </w:style>
  <w:style w:type="character" w:styleId="FootnoteReference">
    <w:name w:val="footnote reference"/>
    <w:basedOn w:val="DefaultParagraphFont"/>
    <w:semiHidden/>
    <w:unhideWhenUsed/>
    <w:rsid w:val="00184E03"/>
    <w:rPr>
      <w:vertAlign w:val="superscript"/>
    </w:rPr>
  </w:style>
  <w:style w:type="character" w:styleId="Hyperlink">
    <w:name w:val="Hyperlink"/>
    <w:basedOn w:val="DefaultParagraphFont"/>
    <w:uiPriority w:val="99"/>
    <w:unhideWhenUsed/>
    <w:rsid w:val="001601CB"/>
    <w:rPr>
      <w:color w:val="0000FF" w:themeColor="hyperlink"/>
      <w:u w:val="single"/>
    </w:rPr>
  </w:style>
  <w:style w:type="paragraph" w:customStyle="1" w:styleId="BodyTextMinEmphasis">
    <w:name w:val="BodyTextMinEmphasis"/>
    <w:next w:val="BodyText"/>
    <w:link w:val="BodyTextMinEmphasisChar"/>
    <w:rsid w:val="005E2AAD"/>
    <w:pPr>
      <w:spacing w:before="120" w:line="360" w:lineRule="auto"/>
    </w:pPr>
    <w:rPr>
      <w:i/>
      <w:sz w:val="24"/>
      <w:szCs w:val="24"/>
    </w:rPr>
  </w:style>
  <w:style w:type="character" w:customStyle="1" w:styleId="BodyTextMinEmphasisChar">
    <w:name w:val="BodyTextMinEmphasis Char"/>
    <w:basedOn w:val="BodyTextChar"/>
    <w:link w:val="BodyTextMinEmphasis"/>
    <w:rsid w:val="005E2AAD"/>
    <w:rPr>
      <w:b w:val="0"/>
      <w:i/>
      <w:color w:val="808080" w:themeColor="background1" w:themeShade="80"/>
      <w:sz w:val="24"/>
      <w:szCs w:val="24"/>
    </w:rPr>
  </w:style>
  <w:style w:type="paragraph" w:customStyle="1" w:styleId="BodyBulletsEmphasis">
    <w:name w:val="BodyBulletsEmphasis"/>
    <w:basedOn w:val="TableBodyBullets"/>
    <w:link w:val="BodyBulletsEmphasisChar"/>
    <w:autoRedefine/>
    <w:qFormat/>
    <w:rsid w:val="0091502F"/>
    <w:rPr>
      <w:b/>
      <w:i/>
      <w:color w:val="000000" w:themeColor="text1"/>
    </w:rPr>
  </w:style>
  <w:style w:type="character" w:customStyle="1" w:styleId="BodyBulletsEmphasisChar">
    <w:name w:val="BodyBulletsEmphasis Char"/>
    <w:basedOn w:val="TableBodyBulletsChar"/>
    <w:link w:val="BodyBulletsEmphasis"/>
    <w:rsid w:val="0091502F"/>
    <w:rPr>
      <w:b w:val="0"/>
      <w:i/>
      <w:color w:val="000000" w:themeColor="text1"/>
      <w:sz w:val="24"/>
      <w:szCs w:val="24"/>
    </w:rPr>
  </w:style>
  <w:style w:type="paragraph" w:styleId="BodyText0">
    <w:name w:val="Body Text"/>
    <w:basedOn w:val="Normal"/>
    <w:link w:val="BodyTextChar0"/>
    <w:uiPriority w:val="99"/>
    <w:semiHidden/>
    <w:unhideWhenUsed/>
    <w:rsid w:val="00C820C2"/>
    <w:pPr>
      <w:spacing w:after="120"/>
    </w:pPr>
  </w:style>
  <w:style w:type="character" w:customStyle="1" w:styleId="BodyTextChar0">
    <w:name w:val="Body Text Char"/>
    <w:basedOn w:val="DefaultParagraphFont"/>
    <w:link w:val="BodyText0"/>
    <w:uiPriority w:val="99"/>
    <w:semiHidden/>
    <w:rsid w:val="00C820C2"/>
  </w:style>
  <w:style w:type="paragraph" w:styleId="TOCHeading">
    <w:name w:val="TOC Heading"/>
    <w:basedOn w:val="Heading1"/>
    <w:next w:val="Normal"/>
    <w:uiPriority w:val="39"/>
    <w:unhideWhenUsed/>
    <w:qFormat/>
    <w:rsid w:val="00C965A7"/>
    <w:pPr>
      <w:spacing w:after="360"/>
      <w:outlineLvl w:val="9"/>
    </w:pPr>
    <w:rPr>
      <w:lang w:eastAsia="ja-JP"/>
    </w:rPr>
  </w:style>
  <w:style w:type="paragraph" w:styleId="TOC2">
    <w:name w:val="toc 2"/>
    <w:basedOn w:val="BodyText"/>
    <w:next w:val="Normal"/>
    <w:autoRedefine/>
    <w:uiPriority w:val="39"/>
    <w:unhideWhenUsed/>
    <w:qFormat/>
    <w:rsid w:val="001A50D9"/>
    <w:pPr>
      <w:tabs>
        <w:tab w:val="right" w:leader="dot" w:pos="9000"/>
        <w:tab w:val="left" w:pos="9360"/>
      </w:tabs>
      <w:spacing w:after="100"/>
      <w:ind w:left="360"/>
    </w:pPr>
    <w:rPr>
      <w:rFonts w:eastAsiaTheme="minorEastAsia"/>
      <w:lang w:eastAsia="ja-JP"/>
    </w:rPr>
  </w:style>
  <w:style w:type="paragraph" w:styleId="TOC1">
    <w:name w:val="toc 1"/>
    <w:basedOn w:val="Normal"/>
    <w:next w:val="Normal"/>
    <w:autoRedefine/>
    <w:uiPriority w:val="39"/>
    <w:unhideWhenUsed/>
    <w:qFormat/>
    <w:rsid w:val="00E14440"/>
    <w:pPr>
      <w:spacing w:after="100"/>
    </w:pPr>
    <w:rPr>
      <w:rFonts w:asciiTheme="majorHAnsi" w:eastAsiaTheme="minorEastAsia" w:hAnsiTheme="majorHAnsi"/>
      <w:b/>
      <w:color w:val="365F91" w:themeColor="accent1" w:themeShade="BF"/>
      <w:sz w:val="24"/>
      <w:lang w:eastAsia="ja-JP"/>
    </w:rPr>
  </w:style>
  <w:style w:type="paragraph" w:styleId="TOC3">
    <w:name w:val="toc 3"/>
    <w:basedOn w:val="BodyTextMinEmphasis"/>
    <w:next w:val="Normal"/>
    <w:autoRedefine/>
    <w:uiPriority w:val="39"/>
    <w:semiHidden/>
    <w:unhideWhenUsed/>
    <w:qFormat/>
    <w:rsid w:val="00E47AD8"/>
    <w:pPr>
      <w:spacing w:after="100"/>
      <w:ind w:left="440"/>
    </w:pPr>
    <w:rPr>
      <w:rFonts w:eastAsiaTheme="minorEastAsia"/>
      <w:lang w:eastAsia="ja-JP"/>
    </w:rPr>
  </w:style>
  <w:style w:type="character" w:customStyle="1" w:styleId="Heading2Char">
    <w:name w:val="Heading 2 Char"/>
    <w:basedOn w:val="DefaultParagraphFont"/>
    <w:link w:val="Heading2"/>
    <w:uiPriority w:val="9"/>
    <w:semiHidden/>
    <w:rsid w:val="00E1444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46D61"/>
    <w:rPr>
      <w:rFonts w:asciiTheme="majorHAnsi" w:eastAsiaTheme="majorEastAsia" w:hAnsiTheme="majorHAnsi" w:cstheme="majorBidi"/>
      <w:b/>
      <w:bCs/>
      <w:color w:val="4F81BD" w:themeColor="accent1"/>
    </w:rPr>
  </w:style>
  <w:style w:type="paragraph" w:customStyle="1" w:styleId="ExhibitsListSubhead1">
    <w:name w:val="ExhibitsListSubhead1"/>
    <w:basedOn w:val="BodyText"/>
    <w:link w:val="ExhibitsListSubhead1Char"/>
    <w:qFormat/>
    <w:rsid w:val="00B37963"/>
    <w:pPr>
      <w:tabs>
        <w:tab w:val="left" w:pos="0"/>
        <w:tab w:val="right" w:leader="dot" w:pos="9360"/>
      </w:tabs>
      <w:spacing w:after="100"/>
    </w:pPr>
    <w:rPr>
      <w:rFonts w:asciiTheme="majorHAnsi" w:hAnsiTheme="majorHAnsi"/>
      <w:b/>
      <w:color w:val="365F91" w:themeColor="accent1" w:themeShade="BF"/>
    </w:rPr>
  </w:style>
  <w:style w:type="paragraph" w:customStyle="1" w:styleId="ExhibitsListSubhead2">
    <w:name w:val="ExhibitsListSubhead2"/>
    <w:basedOn w:val="ExhibitsListSubhead1"/>
    <w:link w:val="ExhibitsListSubhead2Char"/>
    <w:qFormat/>
    <w:rsid w:val="00B37963"/>
    <w:pPr>
      <w:tabs>
        <w:tab w:val="clear" w:pos="9360"/>
        <w:tab w:val="left" w:pos="360"/>
        <w:tab w:val="right" w:leader="dot" w:pos="9000"/>
      </w:tabs>
    </w:pPr>
    <w:rPr>
      <w:rFonts w:asciiTheme="minorHAnsi" w:hAnsiTheme="minorHAnsi"/>
      <w:b w:val="0"/>
      <w:color w:val="auto"/>
    </w:rPr>
  </w:style>
  <w:style w:type="character" w:customStyle="1" w:styleId="ExhibitsListSubhead1Char">
    <w:name w:val="ExhibitsListSubhead1 Char"/>
    <w:basedOn w:val="BodyTextChar"/>
    <w:link w:val="ExhibitsListSubhead1"/>
    <w:rsid w:val="00B37963"/>
    <w:rPr>
      <w:rFonts w:asciiTheme="majorHAnsi" w:hAnsiTheme="majorHAnsi"/>
      <w:b w:val="0"/>
      <w:color w:val="365F91" w:themeColor="accent1" w:themeShade="BF"/>
      <w:sz w:val="24"/>
      <w:szCs w:val="24"/>
    </w:rPr>
  </w:style>
  <w:style w:type="character" w:customStyle="1" w:styleId="ExhibitsListSubhead2Char">
    <w:name w:val="ExhibitsListSubhead2 Char"/>
    <w:basedOn w:val="ExhibitsListSubhead1Char"/>
    <w:link w:val="ExhibitsListSubhead2"/>
    <w:rsid w:val="00B37963"/>
    <w:rPr>
      <w:rFonts w:asciiTheme="majorHAnsi" w:hAnsiTheme="majorHAnsi"/>
      <w:b/>
      <w:color w:val="365F91" w:themeColor="accent1" w:themeShade="BF"/>
      <w:sz w:val="24"/>
      <w:szCs w:val="24"/>
    </w:rPr>
  </w:style>
  <w:style w:type="character" w:customStyle="1" w:styleId="SidebarBodyTextChar">
    <w:name w:val="Sidebar Body Text Char"/>
    <w:basedOn w:val="DefaultParagraphFont"/>
    <w:link w:val="SidebarBodyText"/>
    <w:rsid w:val="00E977C1"/>
    <w:rPr>
      <w:color w:val="808080" w:themeColor="background1" w:themeShade="80"/>
      <w:sz w:val="24"/>
    </w:rPr>
  </w:style>
  <w:style w:type="paragraph" w:customStyle="1" w:styleId="SidebarTitles">
    <w:name w:val="Sidebar Titles"/>
    <w:basedOn w:val="Heading1"/>
    <w:link w:val="SidebarTitlesChar"/>
    <w:qFormat/>
    <w:rsid w:val="003769E2"/>
    <w:pPr>
      <w:spacing w:after="240"/>
    </w:pPr>
    <w:rPr>
      <w:b w:val="0"/>
      <w:sz w:val="40"/>
      <w:szCs w:val="40"/>
    </w:rPr>
  </w:style>
  <w:style w:type="character" w:customStyle="1" w:styleId="CalloutBoxTitlesChar">
    <w:name w:val="Callout Box Titles Char"/>
    <w:basedOn w:val="DefaultParagraphFont"/>
    <w:link w:val="CalloutBoxTitles"/>
    <w:rsid w:val="003769E2"/>
    <w:rPr>
      <w:rFonts w:ascii="Cambria" w:hAnsi="Cambria"/>
      <w:iCs/>
      <w:color w:val="365F91" w:themeColor="accent1" w:themeShade="BF"/>
      <w:sz w:val="32"/>
    </w:rPr>
  </w:style>
  <w:style w:type="paragraph" w:customStyle="1" w:styleId="CalloutBodyText">
    <w:name w:val="Callout Body Text"/>
    <w:basedOn w:val="SidebarBodyText"/>
    <w:link w:val="CalloutBodyTextChar"/>
    <w:qFormat/>
    <w:rsid w:val="00E977C1"/>
    <w:pPr>
      <w:jc w:val="center"/>
    </w:pPr>
  </w:style>
  <w:style w:type="character" w:customStyle="1" w:styleId="SidebarTitlesChar">
    <w:name w:val="Sidebar Titles Char"/>
    <w:basedOn w:val="Heading1Char"/>
    <w:link w:val="SidebarTitles"/>
    <w:rsid w:val="003769E2"/>
    <w:rPr>
      <w:rFonts w:asciiTheme="majorHAnsi" w:eastAsiaTheme="majorEastAsia" w:hAnsiTheme="majorHAnsi" w:cstheme="majorBidi"/>
      <w:b w:val="0"/>
      <w:bCs/>
      <w:color w:val="365F91" w:themeColor="accent1" w:themeShade="BF"/>
      <w:sz w:val="40"/>
      <w:szCs w:val="40"/>
    </w:rPr>
  </w:style>
  <w:style w:type="character" w:customStyle="1" w:styleId="CalloutBodyTextChar">
    <w:name w:val="Callout Body Text Char"/>
    <w:basedOn w:val="SidebarBodyTextChar"/>
    <w:link w:val="CalloutBodyText"/>
    <w:rsid w:val="00E977C1"/>
    <w:rPr>
      <w:color w:val="808080" w:themeColor="background1" w:themeShade="80"/>
      <w:sz w:val="24"/>
    </w:rPr>
  </w:style>
  <w:style w:type="paragraph" w:styleId="NoSpacing">
    <w:name w:val="No Spacing"/>
    <w:link w:val="NoSpacingChar"/>
    <w:uiPriority w:val="1"/>
    <w:qFormat/>
    <w:rsid w:val="00282D64"/>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82D64"/>
    <w:rPr>
      <w:rFonts w:eastAsiaTheme="minorEastAsia"/>
      <w:lang w:eastAsia="ja-JP"/>
    </w:rPr>
  </w:style>
  <w:style w:type="paragraph" w:customStyle="1" w:styleId="TableTitle">
    <w:name w:val="TableTitle"/>
    <w:basedOn w:val="ListParagraph"/>
    <w:qFormat/>
    <w:rsid w:val="00F934B7"/>
    <w:pPr>
      <w:numPr>
        <w:numId w:val="32"/>
      </w:numPr>
      <w:spacing w:before="360" w:after="120" w:line="240" w:lineRule="auto"/>
    </w:pPr>
    <w:rPr>
      <w:rFonts w:ascii="Cambria" w:hAnsi="Cambria"/>
      <w:b/>
      <w:i/>
      <w:color w:val="365F91" w:themeColor="accent1" w:themeShade="BF"/>
      <w:sz w:val="24"/>
    </w:rPr>
  </w:style>
  <w:style w:type="paragraph" w:customStyle="1" w:styleId="IRPsanstext">
    <w:name w:val="IRPsanstext"/>
    <w:basedOn w:val="Normal"/>
    <w:link w:val="IRPsanstextChar1"/>
    <w:rsid w:val="00945A1D"/>
    <w:pPr>
      <w:spacing w:after="0" w:line="320" w:lineRule="exact"/>
    </w:pPr>
    <w:rPr>
      <w:rFonts w:ascii="Arial" w:eastAsia="MS Mincho" w:hAnsi="Arial" w:cs="Times New Roman"/>
      <w:sz w:val="20"/>
      <w:szCs w:val="20"/>
      <w:lang w:eastAsia="ja-JP"/>
    </w:rPr>
  </w:style>
  <w:style w:type="character" w:customStyle="1" w:styleId="IRPsanstextChar1">
    <w:name w:val="IRPsanstext Char1"/>
    <w:link w:val="IRPsanstext"/>
    <w:rsid w:val="00945A1D"/>
    <w:rPr>
      <w:rFonts w:ascii="Arial" w:eastAsia="MS Mincho" w:hAnsi="Arial" w:cs="Times New Roman"/>
      <w:sz w:val="20"/>
      <w:szCs w:val="20"/>
      <w:lang w:eastAsia="ja-JP"/>
    </w:rPr>
  </w:style>
  <w:style w:type="paragraph" w:customStyle="1" w:styleId="TableBodyText">
    <w:name w:val="TableBodyText"/>
    <w:basedOn w:val="Normal"/>
    <w:qFormat/>
    <w:rsid w:val="00ED17E9"/>
    <w:pPr>
      <w:spacing w:before="60" w:after="120" w:line="240" w:lineRule="auto"/>
    </w:pPr>
    <w:rPr>
      <w:sz w:val="24"/>
      <w:szCs w:val="24"/>
      <w:lang w:eastAsia="ja-JP"/>
    </w:rPr>
  </w:style>
  <w:style w:type="paragraph" w:customStyle="1" w:styleId="TableHeaderText">
    <w:name w:val="TableHeaderText"/>
    <w:basedOn w:val="Normal"/>
    <w:qFormat/>
    <w:rsid w:val="00945A1D"/>
    <w:pPr>
      <w:spacing w:before="60" w:after="60" w:line="240" w:lineRule="auto"/>
    </w:pPr>
    <w:rPr>
      <w:b/>
      <w:color w:val="FFFFFF" w:themeColor="background1"/>
      <w:sz w:val="24"/>
      <w:szCs w:val="24"/>
      <w:lang w:eastAsia="ja-JP"/>
    </w:rPr>
  </w:style>
  <w:style w:type="paragraph" w:customStyle="1" w:styleId="IRPbullet">
    <w:name w:val="IRPbullet"/>
    <w:basedOn w:val="Normal"/>
    <w:rsid w:val="00567F23"/>
    <w:pPr>
      <w:numPr>
        <w:numId w:val="38"/>
      </w:numPr>
      <w:spacing w:beforeAutospacing="1" w:after="0" w:afterAutospacing="1" w:line="360" w:lineRule="auto"/>
    </w:pPr>
    <w:rPr>
      <w:rFonts w:ascii="Arial" w:eastAsia="MS Mincho" w:hAnsi="Arial" w:cs="Times New Roman"/>
      <w:sz w:val="20"/>
      <w:szCs w:val="20"/>
      <w:lang w:eastAsia="ja-JP"/>
    </w:rPr>
  </w:style>
  <w:style w:type="paragraph" w:customStyle="1" w:styleId="Parabody">
    <w:name w:val="Para body"/>
    <w:basedOn w:val="Normal"/>
    <w:rsid w:val="00567F23"/>
    <w:pPr>
      <w:spacing w:after="0" w:line="360" w:lineRule="auto"/>
      <w:jc w:val="both"/>
    </w:pPr>
    <w:rPr>
      <w:rFonts w:ascii="Arial" w:eastAsia="Times New Roman" w:hAnsi="Arial" w:cs="Times New Roman"/>
    </w:rPr>
  </w:style>
  <w:style w:type="paragraph" w:customStyle="1" w:styleId="IRPsecthead1serif">
    <w:name w:val="IRPsecthead1serif"/>
    <w:basedOn w:val="Normal"/>
    <w:rsid w:val="00ED17E9"/>
    <w:pPr>
      <w:spacing w:after="0" w:line="240" w:lineRule="auto"/>
    </w:pPr>
    <w:rPr>
      <w:rFonts w:ascii="Palatino" w:eastAsia="MS Mincho" w:hAnsi="Palatino" w:cs="Times New Roman"/>
      <w:i/>
      <w:sz w:val="32"/>
      <w:szCs w:val="20"/>
      <w:lang w:val="fr-FR" w:eastAsia="ja-JP"/>
    </w:rPr>
  </w:style>
  <w:style w:type="paragraph" w:customStyle="1" w:styleId="08RFPBody">
    <w:name w:val="08RFP Body"/>
    <w:basedOn w:val="Normal"/>
    <w:rsid w:val="00ED17E9"/>
    <w:pPr>
      <w:spacing w:after="240" w:line="240" w:lineRule="auto"/>
    </w:pPr>
    <w:rPr>
      <w:rFonts w:ascii="Arial" w:eastAsia="Times New Roman" w:hAnsi="Arial" w:cs="Times New Roman"/>
      <w:sz w:val="20"/>
      <w:szCs w:val="20"/>
    </w:rPr>
  </w:style>
  <w:style w:type="paragraph" w:customStyle="1" w:styleId="irpsanstext0">
    <w:name w:val="irpsanstext"/>
    <w:basedOn w:val="Normal"/>
    <w:link w:val="irpsanstextChar"/>
    <w:rsid w:val="00ED17E9"/>
    <w:pPr>
      <w:spacing w:after="0" w:line="320" w:lineRule="atLeast"/>
    </w:pPr>
    <w:rPr>
      <w:rFonts w:ascii="Arial" w:eastAsia="Times New Roman" w:hAnsi="Arial" w:cs="Arial"/>
    </w:rPr>
  </w:style>
  <w:style w:type="character" w:customStyle="1" w:styleId="irpsanstextChar">
    <w:name w:val="irpsanstext Char"/>
    <w:basedOn w:val="DefaultParagraphFont"/>
    <w:link w:val="irpsanstext0"/>
    <w:rsid w:val="00ED17E9"/>
    <w:rPr>
      <w:rFonts w:ascii="Arial" w:eastAsia="Times New Roman" w:hAnsi="Arial" w:cs="Arial"/>
    </w:rPr>
  </w:style>
  <w:style w:type="paragraph" w:customStyle="1" w:styleId="BodyBullets">
    <w:name w:val="BodyBullets"/>
    <w:basedOn w:val="BodyText"/>
    <w:qFormat/>
    <w:rsid w:val="00955E50"/>
    <w:pPr>
      <w:numPr>
        <w:numId w:val="43"/>
      </w:numPr>
      <w:spacing w:after="120"/>
    </w:pPr>
  </w:style>
  <w:style w:type="paragraph" w:customStyle="1" w:styleId="Subhead3">
    <w:name w:val="Subhead3"/>
    <w:basedOn w:val="BodyText"/>
    <w:qFormat/>
    <w:rsid w:val="00D61E8B"/>
    <w:pPr>
      <w:spacing w:before="360" w:after="120"/>
    </w:pPr>
    <w:rPr>
      <w:b/>
      <w:i/>
    </w:rPr>
  </w:style>
  <w:style w:type="paragraph" w:customStyle="1" w:styleId="Subhead4">
    <w:name w:val="Subhead4"/>
    <w:basedOn w:val="BodyText"/>
    <w:qFormat/>
    <w:rsid w:val="009A19A6"/>
    <w:pPr>
      <w:spacing w:before="240"/>
    </w:pPr>
    <w:rPr>
      <w:u w:val="single"/>
      <w:lang w:eastAsia="ja-JP"/>
    </w:rPr>
  </w:style>
  <w:style w:type="paragraph" w:customStyle="1" w:styleId="Subhead5Indent">
    <w:name w:val="Subhead5 (Indent)"/>
    <w:basedOn w:val="BodyText"/>
    <w:qFormat/>
    <w:rsid w:val="009A19A6"/>
    <w:pPr>
      <w:ind w:left="720"/>
    </w:pPr>
    <w:rPr>
      <w:i/>
    </w:rPr>
  </w:style>
  <w:style w:type="paragraph" w:customStyle="1" w:styleId="Subhead5-BodyTextIndent">
    <w:name w:val="Subhead5-BodyText (Indent)"/>
    <w:basedOn w:val="BodyText"/>
    <w:qFormat/>
    <w:rsid w:val="009A19A6"/>
    <w:pPr>
      <w:ind w:left="720"/>
    </w:pPr>
  </w:style>
  <w:style w:type="paragraph" w:customStyle="1" w:styleId="Footnotes">
    <w:name w:val="Footnotes"/>
    <w:basedOn w:val="BodyText"/>
    <w:qFormat/>
    <w:rsid w:val="00FE4FBB"/>
    <w:pPr>
      <w:spacing w:before="0" w:after="0"/>
    </w:pPr>
    <w:rPr>
      <w:i/>
      <w:sz w:val="18"/>
    </w:rPr>
  </w:style>
  <w:style w:type="paragraph" w:styleId="CommentSubject">
    <w:name w:val="annotation subject"/>
    <w:basedOn w:val="CommentText"/>
    <w:next w:val="CommentText"/>
    <w:link w:val="CommentSubjectChar"/>
    <w:uiPriority w:val="99"/>
    <w:semiHidden/>
    <w:unhideWhenUsed/>
    <w:rsid w:val="007048E9"/>
    <w:rPr>
      <w:rFonts w:asciiTheme="minorHAnsi" w:hAnsiTheme="minorHAnsi"/>
      <w:b/>
      <w:bCs/>
      <w:sz w:val="20"/>
      <w:szCs w:val="20"/>
    </w:rPr>
  </w:style>
  <w:style w:type="character" w:customStyle="1" w:styleId="CommentSubjectChar">
    <w:name w:val="Comment Subject Char"/>
    <w:basedOn w:val="CommentTextChar"/>
    <w:link w:val="CommentSubject"/>
    <w:uiPriority w:val="99"/>
    <w:semiHidden/>
    <w:rsid w:val="007048E9"/>
    <w:rPr>
      <w:rFonts w:ascii="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157303">
      <w:bodyDiv w:val="1"/>
      <w:marLeft w:val="0"/>
      <w:marRight w:val="0"/>
      <w:marTop w:val="0"/>
      <w:marBottom w:val="0"/>
      <w:divBdr>
        <w:top w:val="none" w:sz="0" w:space="0" w:color="auto"/>
        <w:left w:val="none" w:sz="0" w:space="0" w:color="auto"/>
        <w:bottom w:val="none" w:sz="0" w:space="0" w:color="auto"/>
        <w:right w:val="none" w:sz="0" w:space="0" w:color="auto"/>
      </w:divBdr>
    </w:div>
    <w:div w:id="432287807">
      <w:bodyDiv w:val="1"/>
      <w:marLeft w:val="0"/>
      <w:marRight w:val="0"/>
      <w:marTop w:val="0"/>
      <w:marBottom w:val="0"/>
      <w:divBdr>
        <w:top w:val="none" w:sz="0" w:space="0" w:color="auto"/>
        <w:left w:val="none" w:sz="0" w:space="0" w:color="auto"/>
        <w:bottom w:val="none" w:sz="0" w:space="0" w:color="auto"/>
        <w:right w:val="none" w:sz="0" w:space="0" w:color="auto"/>
      </w:divBdr>
    </w:div>
    <w:div w:id="863596132">
      <w:bodyDiv w:val="1"/>
      <w:marLeft w:val="0"/>
      <w:marRight w:val="0"/>
      <w:marTop w:val="0"/>
      <w:marBottom w:val="0"/>
      <w:divBdr>
        <w:top w:val="none" w:sz="0" w:space="0" w:color="auto"/>
        <w:left w:val="none" w:sz="0" w:space="0" w:color="auto"/>
        <w:bottom w:val="none" w:sz="0" w:space="0" w:color="auto"/>
        <w:right w:val="none" w:sz="0" w:space="0" w:color="auto"/>
      </w:divBdr>
    </w:div>
    <w:div w:id="1230464021">
      <w:bodyDiv w:val="1"/>
      <w:marLeft w:val="0"/>
      <w:marRight w:val="0"/>
      <w:marTop w:val="0"/>
      <w:marBottom w:val="0"/>
      <w:divBdr>
        <w:top w:val="none" w:sz="0" w:space="0" w:color="auto"/>
        <w:left w:val="none" w:sz="0" w:space="0" w:color="auto"/>
        <w:bottom w:val="none" w:sz="0" w:space="0" w:color="auto"/>
        <w:right w:val="none" w:sz="0" w:space="0" w:color="auto"/>
      </w:divBdr>
    </w:div>
    <w:div w:id="1660042487">
      <w:bodyDiv w:val="1"/>
      <w:marLeft w:val="0"/>
      <w:marRight w:val="0"/>
      <w:marTop w:val="0"/>
      <w:marBottom w:val="0"/>
      <w:divBdr>
        <w:top w:val="none" w:sz="0" w:space="0" w:color="auto"/>
        <w:left w:val="none" w:sz="0" w:space="0" w:color="auto"/>
        <w:bottom w:val="none" w:sz="0" w:space="0" w:color="auto"/>
        <w:right w:val="none" w:sz="0" w:space="0" w:color="auto"/>
      </w:divBdr>
    </w:div>
    <w:div w:id="173364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fms xmlns="dbe189f2-33cc-49da-83a0-e3adac0b502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2C7515C8745AB43ABF8E27DB5D2B9DB" ma:contentTypeVersion="3" ma:contentTypeDescription="Create a new document." ma:contentTypeScope="" ma:versionID="47effa93d30c1e786f457dea9963b8fd">
  <xsd:schema xmlns:xsd="http://www.w3.org/2001/XMLSchema" xmlns:xs="http://www.w3.org/2001/XMLSchema" xmlns:p="http://schemas.microsoft.com/office/2006/metadata/properties" xmlns:ns2="1fbcb9d6-207f-4e16-a5d1-f89975f2d4d3" xmlns:ns3="dbe189f2-33cc-49da-83a0-e3adac0b502e" targetNamespace="http://schemas.microsoft.com/office/2006/metadata/properties" ma:root="true" ma:fieldsID="ad3cd09868fe650efc10839e7c374e21" ns2:_="" ns3:_="">
    <xsd:import namespace="1fbcb9d6-207f-4e16-a5d1-f89975f2d4d3"/>
    <xsd:import namespace="dbe189f2-33cc-49da-83a0-e3adac0b502e"/>
    <xsd:element name="properties">
      <xsd:complexType>
        <xsd:sequence>
          <xsd:element name="documentManagement">
            <xsd:complexType>
              <xsd:all>
                <xsd:element ref="ns2:SharedWithUsers" minOccurs="0"/>
                <xsd:element ref="ns2:SharedWithDetails" minOccurs="0"/>
                <xsd:element ref="ns3:df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bcb9d6-207f-4e16-a5d1-f89975f2d4d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e189f2-33cc-49da-83a0-e3adac0b502e" elementFormDefault="qualified">
    <xsd:import namespace="http://schemas.microsoft.com/office/2006/documentManagement/types"/>
    <xsd:import namespace="http://schemas.microsoft.com/office/infopath/2007/PartnerControls"/>
    <xsd:element name="dfms" ma:index="10" nillable="true" ma:displayName="Date and Time" ma:internalName="dfms">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9AA020-82B5-45FD-90F0-E86C1F0A4530}"/>
</file>

<file path=customXml/itemProps2.xml><?xml version="1.0" encoding="utf-8"?>
<ds:datastoreItem xmlns:ds="http://schemas.openxmlformats.org/officeDocument/2006/customXml" ds:itemID="{52D5A2AE-849D-4B8C-ABFC-B2A3D2E3EF6F}"/>
</file>

<file path=customXml/itemProps3.xml><?xml version="1.0" encoding="utf-8"?>
<ds:datastoreItem xmlns:ds="http://schemas.openxmlformats.org/officeDocument/2006/customXml" ds:itemID="{5571645C-C954-41A1-B1C4-3BF5A402B7FA}"/>
</file>

<file path=customXml/itemProps4.xml><?xml version="1.0" encoding="utf-8"?>
<ds:datastoreItem xmlns:ds="http://schemas.openxmlformats.org/officeDocument/2006/customXml" ds:itemID="{9F2A2571-D8A5-4C99-B755-045685C61B11}"/>
</file>

<file path=docProps/app.xml><?xml version="1.0" encoding="utf-8"?>
<Properties xmlns="http://schemas.openxmlformats.org/officeDocument/2006/extended-properties" xmlns:vt="http://schemas.openxmlformats.org/officeDocument/2006/docPropsVTypes">
  <Template>Normal.dotm</Template>
  <TotalTime>1</TotalTime>
  <Pages>5</Pages>
  <Words>1759</Words>
  <Characters>10031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Mutual Confidentiality Agreement</vt:lpstr>
    </vt:vector>
  </TitlesOfParts>
  <Company>[Date] Report to the Board of Directors: Title</Company>
  <LinksUpToDate>false</LinksUpToDate>
  <CharactersWithSpaces>11767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Mutual Confidentiality Agreement</dc:title>
  <dc:subject>Exhibit Title</dc:subject>
  <dc:creator>Puget Sound Energy</dc:creator>
  <cp:lastModifiedBy>Marshall, Anne</cp:lastModifiedBy>
  <cp:revision>3</cp:revision>
  <cp:lastPrinted>2013-05-23T02:30:00Z</cp:lastPrinted>
  <dcterms:created xsi:type="dcterms:W3CDTF">2021-11-15T00:19:00Z</dcterms:created>
  <dcterms:modified xsi:type="dcterms:W3CDTF">2021-11-15T00:20:00Z</dcterms:modified>
  <cp:contentStatus>Draft Review</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0x010100B2C7515C8745AB43ABF8E27DB5D2B9DB</vt:lpwstr>
  </property>
</Properties>
</file>