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A8AC0" w14:textId="7D6DF8E4" w:rsidR="00BA1E5E" w:rsidRPr="00BC74DB" w:rsidRDefault="00BA1E5E" w:rsidP="00DE25F2">
      <w:pPr>
        <w:pStyle w:val="NoSpacing"/>
      </w:pPr>
      <w:r w:rsidRPr="00BC74DB">
        <w:rPr>
          <w:b/>
        </w:rPr>
        <w:t xml:space="preserve">To:  </w:t>
      </w:r>
      <w:r w:rsidR="00F962C6" w:rsidRPr="00BC74DB">
        <w:rPr>
          <w:rFonts w:ascii="Times New Roman" w:hAnsi="Times New Roman" w:cs="Times New Roman"/>
        </w:rPr>
        <w:t>Bonneville Power Administration</w:t>
      </w:r>
      <w:r w:rsidR="00F962C6" w:rsidRPr="00BC74DB">
        <w:t xml:space="preserve"> </w:t>
      </w:r>
    </w:p>
    <w:p w14:paraId="2E89CF74" w14:textId="2D504F1C" w:rsidR="00BA1E5E" w:rsidRPr="00BC74DB" w:rsidRDefault="00BA1E5E" w:rsidP="00BA1E5E">
      <w:pPr>
        <w:jc w:val="center"/>
        <w:rPr>
          <w:rFonts w:ascii="Times New Roman" w:hAnsi="Times New Roman" w:cs="Times New Roman"/>
        </w:rPr>
      </w:pPr>
      <w:r w:rsidRPr="00BC74DB">
        <w:rPr>
          <w:rFonts w:ascii="Times New Roman" w:hAnsi="Times New Roman" w:cs="Times New Roman"/>
          <w:b/>
        </w:rPr>
        <w:t>From:</w:t>
      </w:r>
      <w:r w:rsidRPr="00BC74DB">
        <w:rPr>
          <w:rFonts w:ascii="Times New Roman" w:hAnsi="Times New Roman" w:cs="Times New Roman"/>
        </w:rPr>
        <w:t xml:space="preserve"> </w:t>
      </w:r>
      <w:r w:rsidR="00F962C6" w:rsidRPr="00BC74DB">
        <w:t>Puget Sound Energy</w:t>
      </w:r>
    </w:p>
    <w:p w14:paraId="77E85799" w14:textId="77777777" w:rsidR="00BA1E5E" w:rsidRPr="00BC74DB" w:rsidRDefault="00BA1E5E" w:rsidP="00BA1E5E">
      <w:pPr>
        <w:jc w:val="center"/>
        <w:rPr>
          <w:rFonts w:ascii="Times New Roman" w:hAnsi="Times New Roman" w:cs="Times New Roman"/>
        </w:rPr>
      </w:pPr>
    </w:p>
    <w:p w14:paraId="7C507EFA" w14:textId="6256D326" w:rsidR="00BA1E5E" w:rsidRPr="00BC74DB" w:rsidRDefault="00F962C6" w:rsidP="00547055">
      <w:pPr>
        <w:jc w:val="center"/>
        <w:rPr>
          <w:rFonts w:ascii="Times New Roman" w:hAnsi="Times New Roman" w:cs="Times New Roman"/>
          <w:b/>
        </w:rPr>
      </w:pPr>
      <w:r>
        <w:rPr>
          <w:rFonts w:ascii="Times New Roman" w:hAnsi="Times New Roman" w:cs="Times New Roman"/>
          <w:b/>
          <w:szCs w:val="24"/>
        </w:rPr>
        <w:t xml:space="preserve">PSE Response to </w:t>
      </w:r>
      <w:r w:rsidR="00BA1E5E" w:rsidRPr="00BC74DB">
        <w:rPr>
          <w:rFonts w:ascii="Times New Roman" w:hAnsi="Times New Roman" w:cs="Times New Roman"/>
          <w:b/>
          <w:szCs w:val="24"/>
        </w:rPr>
        <w:t xml:space="preserve">BPA Request for Information #1 </w:t>
      </w:r>
    </w:p>
    <w:p w14:paraId="37243F45" w14:textId="77777777" w:rsidR="00BA1E5E" w:rsidRPr="00BC74DB" w:rsidRDefault="00BA1E5E" w:rsidP="00BA1E5E">
      <w:pPr>
        <w:jc w:val="center"/>
        <w:rPr>
          <w:rFonts w:ascii="Times New Roman" w:hAnsi="Times New Roman" w:cs="Times New Roman"/>
          <w:b/>
        </w:rPr>
      </w:pPr>
      <w:r w:rsidRPr="00BC74DB">
        <w:rPr>
          <w:rFonts w:ascii="Times New Roman" w:hAnsi="Times New Roman" w:cs="Times New Roman"/>
          <w:b/>
        </w:rPr>
        <w:t>TRANSMISSION RATE</w:t>
      </w:r>
    </w:p>
    <w:p w14:paraId="049C1D0D" w14:textId="77777777" w:rsidR="00BA1E5E" w:rsidRPr="00BC74DB" w:rsidRDefault="00BA1E5E" w:rsidP="00BA1E5E">
      <w:pPr>
        <w:jc w:val="center"/>
        <w:rPr>
          <w:rFonts w:ascii="Times New Roman" w:hAnsi="Times New Roman" w:cs="Times New Roman"/>
          <w:szCs w:val="24"/>
        </w:rPr>
      </w:pPr>
    </w:p>
    <w:p w14:paraId="74132D2C" w14:textId="06C3302A" w:rsidR="00BA1E5E" w:rsidRPr="00BC74DB" w:rsidRDefault="00F962C6" w:rsidP="00BA1E5E">
      <w:pPr>
        <w:rPr>
          <w:rFonts w:ascii="Times New Roman" w:hAnsi="Times New Roman" w:cs="Times New Roman"/>
          <w:szCs w:val="24"/>
        </w:rPr>
      </w:pPr>
      <w:r>
        <w:rPr>
          <w:rFonts w:ascii="Times New Roman" w:hAnsi="Times New Roman" w:cs="Times New Roman"/>
          <w:szCs w:val="24"/>
        </w:rPr>
        <w:t>PSE response to BPA’s request for information #1 to Puget Sound Energy’s 2024 Annual update to its Transmission Formula Rate</w:t>
      </w:r>
      <w:r w:rsidR="00BA1E5E" w:rsidRPr="00BC74DB">
        <w:rPr>
          <w:rFonts w:ascii="Times New Roman" w:hAnsi="Times New Roman" w:cs="Times New Roman"/>
          <w:szCs w:val="24"/>
        </w:rPr>
        <w:t>.</w:t>
      </w:r>
      <w:r>
        <w:rPr>
          <w:rFonts w:ascii="Times New Roman" w:hAnsi="Times New Roman" w:cs="Times New Roman"/>
          <w:szCs w:val="24"/>
        </w:rPr>
        <w:t xml:space="preserve">  PSE responses in </w:t>
      </w:r>
      <w:r w:rsidRPr="00F962C6">
        <w:rPr>
          <w:rFonts w:ascii="Times New Roman" w:hAnsi="Times New Roman" w:cs="Times New Roman"/>
          <w:color w:val="70AD47" w:themeColor="accent6"/>
          <w:szCs w:val="24"/>
        </w:rPr>
        <w:t xml:space="preserve">green text </w:t>
      </w:r>
      <w:r>
        <w:rPr>
          <w:rFonts w:ascii="Times New Roman" w:hAnsi="Times New Roman" w:cs="Times New Roman"/>
          <w:szCs w:val="24"/>
        </w:rPr>
        <w:t>below.</w:t>
      </w:r>
    </w:p>
    <w:p w14:paraId="1EB8ECB1" w14:textId="77777777" w:rsidR="000320F9" w:rsidRDefault="000320F9"/>
    <w:p w14:paraId="375D17F2" w14:textId="77777777" w:rsidR="00BA1E5E" w:rsidRDefault="00BA1E5E"/>
    <w:p w14:paraId="096C69FF" w14:textId="143E515C" w:rsidR="00BA1E5E" w:rsidRPr="00BA1E5E" w:rsidRDefault="00BA1E5E" w:rsidP="00BA1E5E">
      <w:pPr>
        <w:numPr>
          <w:ilvl w:val="1"/>
          <w:numId w:val="1"/>
        </w:numPr>
        <w:ind w:left="1440" w:right="720" w:hanging="1440"/>
        <w:rPr>
          <w:rFonts w:eastAsia="Calibri" w:cs="Times New Roman"/>
          <w:color w:val="auto"/>
          <w:sz w:val="22"/>
          <w:szCs w:val="22"/>
        </w:rPr>
      </w:pPr>
      <w:r w:rsidRPr="00BA1E5E">
        <w:rPr>
          <w:rFonts w:eastAsia="Calibri" w:cs="Times New Roman"/>
          <w:color w:val="auto"/>
          <w:sz w:val="22"/>
          <w:szCs w:val="22"/>
        </w:rPr>
        <w:t>Refer to Attachment H-1, Line 1, FERC Form 1 p</w:t>
      </w:r>
      <w:r w:rsidR="00FF597D">
        <w:rPr>
          <w:rFonts w:eastAsia="Calibri" w:cs="Times New Roman"/>
          <w:color w:val="auto"/>
          <w:sz w:val="22"/>
          <w:szCs w:val="22"/>
        </w:rPr>
        <w:t xml:space="preserve">. </w:t>
      </w:r>
      <w:r w:rsidRPr="00BA1E5E">
        <w:rPr>
          <w:rFonts w:eastAsia="Calibri" w:cs="Times New Roman"/>
          <w:color w:val="auto"/>
          <w:sz w:val="22"/>
          <w:szCs w:val="22"/>
        </w:rPr>
        <w:t>354.21b, Transmission Wages Expenses, in PSE’s 202</w:t>
      </w:r>
      <w:r w:rsidR="008E55B4">
        <w:rPr>
          <w:rFonts w:eastAsia="Calibri" w:cs="Times New Roman"/>
          <w:color w:val="auto"/>
          <w:sz w:val="22"/>
          <w:szCs w:val="22"/>
        </w:rPr>
        <w:t>4</w:t>
      </w:r>
      <w:r w:rsidRPr="00BA1E5E">
        <w:rPr>
          <w:rFonts w:eastAsia="Calibri" w:cs="Times New Roman"/>
          <w:color w:val="auto"/>
          <w:sz w:val="22"/>
          <w:szCs w:val="22"/>
        </w:rPr>
        <w:t xml:space="preserve"> Annual Update Formula, ‘202</w:t>
      </w:r>
      <w:r w:rsidR="00E34CD9">
        <w:rPr>
          <w:rFonts w:eastAsia="Calibri" w:cs="Times New Roman"/>
          <w:color w:val="auto"/>
          <w:sz w:val="22"/>
          <w:szCs w:val="22"/>
        </w:rPr>
        <w:t>4</w:t>
      </w:r>
      <w:r w:rsidRPr="00BA1E5E">
        <w:rPr>
          <w:rFonts w:eastAsia="Calibri" w:cs="Times New Roman"/>
          <w:color w:val="auto"/>
          <w:sz w:val="22"/>
          <w:szCs w:val="22"/>
        </w:rPr>
        <w:t>_Formula_Rate_AATRR</w:t>
      </w:r>
      <w:r w:rsidR="00BE7472">
        <w:rPr>
          <w:rFonts w:eastAsia="Calibri" w:cs="Times New Roman"/>
          <w:color w:val="auto"/>
          <w:sz w:val="22"/>
          <w:szCs w:val="22"/>
        </w:rPr>
        <w:t>.</w:t>
      </w:r>
      <w:r w:rsidRPr="00BA1E5E">
        <w:rPr>
          <w:rFonts w:eastAsia="Calibri" w:cs="Times New Roman"/>
          <w:color w:val="auto"/>
          <w:sz w:val="22"/>
          <w:szCs w:val="22"/>
        </w:rPr>
        <w:t xml:space="preserve">’ </w:t>
      </w:r>
      <w:r w:rsidR="00BE7472">
        <w:rPr>
          <w:rFonts w:eastAsia="Calibri" w:cs="Times New Roman"/>
          <w:color w:val="auto"/>
          <w:sz w:val="22"/>
          <w:szCs w:val="22"/>
        </w:rPr>
        <w:t xml:space="preserve"> P</w:t>
      </w:r>
      <w:r w:rsidRPr="00BA1E5E">
        <w:rPr>
          <w:rFonts w:eastAsia="Calibri" w:cs="Times New Roman"/>
          <w:color w:val="auto"/>
          <w:sz w:val="22"/>
          <w:szCs w:val="22"/>
        </w:rPr>
        <w:t xml:space="preserve">lease provide a detailed explanation for the </w:t>
      </w:r>
      <w:r w:rsidR="00547055">
        <w:rPr>
          <w:rFonts w:eastAsia="Calibri" w:cs="Times New Roman"/>
          <w:color w:val="auto"/>
          <w:sz w:val="22"/>
          <w:szCs w:val="22"/>
        </w:rPr>
        <w:t>15.89</w:t>
      </w:r>
      <w:r w:rsidRPr="00BA1E5E">
        <w:rPr>
          <w:rFonts w:eastAsia="Calibri" w:cs="Times New Roman"/>
          <w:color w:val="auto"/>
          <w:sz w:val="22"/>
          <w:szCs w:val="22"/>
        </w:rPr>
        <w:t xml:space="preserve">% </w:t>
      </w:r>
      <w:r w:rsidR="00547055">
        <w:rPr>
          <w:rFonts w:eastAsia="Calibri" w:cs="Times New Roman"/>
          <w:color w:val="auto"/>
          <w:sz w:val="22"/>
          <w:szCs w:val="22"/>
        </w:rPr>
        <w:t>decrease</w:t>
      </w:r>
      <w:r w:rsidRPr="00BA1E5E">
        <w:rPr>
          <w:rFonts w:eastAsia="Calibri" w:cs="Times New Roman"/>
          <w:color w:val="auto"/>
          <w:sz w:val="22"/>
          <w:szCs w:val="22"/>
        </w:rPr>
        <w:t xml:space="preserve">, including a summary </w:t>
      </w:r>
      <w:r w:rsidR="00547055" w:rsidRPr="00BA1E5E">
        <w:rPr>
          <w:rFonts w:eastAsia="Calibri" w:cs="Times New Roman"/>
          <w:color w:val="auto"/>
          <w:sz w:val="22"/>
          <w:szCs w:val="22"/>
        </w:rPr>
        <w:t>of</w:t>
      </w:r>
      <w:r w:rsidRPr="00BA1E5E">
        <w:rPr>
          <w:rFonts w:eastAsia="Calibri" w:cs="Times New Roman"/>
          <w:color w:val="auto"/>
          <w:sz w:val="22"/>
          <w:szCs w:val="22"/>
        </w:rPr>
        <w:t xml:space="preserve"> the </w:t>
      </w:r>
      <w:r w:rsidR="00547055">
        <w:rPr>
          <w:rFonts w:eastAsia="Calibri" w:cs="Times New Roman"/>
          <w:color w:val="auto"/>
          <w:sz w:val="22"/>
          <w:szCs w:val="22"/>
        </w:rPr>
        <w:t>m</w:t>
      </w:r>
      <w:r w:rsidRPr="00BA1E5E">
        <w:rPr>
          <w:rFonts w:eastAsia="Calibri" w:cs="Times New Roman"/>
          <w:color w:val="auto"/>
          <w:sz w:val="22"/>
          <w:szCs w:val="22"/>
        </w:rPr>
        <w:t>ain drivers.</w:t>
      </w:r>
      <w:r w:rsidR="00F962C6">
        <w:rPr>
          <w:rFonts w:eastAsia="Calibri" w:cs="Times New Roman"/>
          <w:color w:val="auto"/>
          <w:sz w:val="22"/>
          <w:szCs w:val="22"/>
        </w:rPr>
        <w:t xml:space="preserve">                                                                                                  </w:t>
      </w:r>
      <w:r w:rsidR="00F962C6" w:rsidRPr="00AF3516">
        <w:rPr>
          <w:rFonts w:eastAsia="Calibri" w:cs="Times New Roman"/>
          <w:b/>
          <w:color w:val="70AD47" w:themeColor="accent6"/>
          <w:sz w:val="22"/>
          <w:szCs w:val="22"/>
        </w:rPr>
        <w:t>PSE Response to BPA 1.1</w:t>
      </w:r>
      <w:r w:rsidR="00F962C6" w:rsidRPr="00F962C6">
        <w:rPr>
          <w:rFonts w:eastAsia="Calibri" w:cs="Times New Roman"/>
          <w:color w:val="70AD47" w:themeColor="accent6"/>
          <w:sz w:val="22"/>
          <w:szCs w:val="22"/>
        </w:rPr>
        <w:t xml:space="preserve">:  Referring to </w:t>
      </w:r>
      <w:r w:rsidR="006A7B59">
        <w:rPr>
          <w:rFonts w:eastAsia="Calibri" w:cs="Times New Roman"/>
          <w:color w:val="70AD47" w:themeColor="accent6"/>
          <w:sz w:val="22"/>
          <w:szCs w:val="22"/>
        </w:rPr>
        <w:t>formula l</w:t>
      </w:r>
      <w:r w:rsidR="00F962C6">
        <w:rPr>
          <w:rFonts w:eastAsia="Calibri" w:cs="Times New Roman"/>
          <w:color w:val="70AD47" w:themeColor="accent6"/>
          <w:sz w:val="22"/>
          <w:szCs w:val="22"/>
        </w:rPr>
        <w:t>ine 1</w:t>
      </w:r>
      <w:r w:rsidR="006A7B59">
        <w:rPr>
          <w:rFonts w:eastAsia="Calibri" w:cs="Times New Roman"/>
          <w:color w:val="70AD47" w:themeColor="accent6"/>
          <w:sz w:val="22"/>
          <w:szCs w:val="22"/>
        </w:rPr>
        <w:t xml:space="preserve"> and FERC Form 1 page 354 line 21 column b, Transmission wages expenses decreased 15.89%</w:t>
      </w:r>
      <w:r w:rsidR="0018594E">
        <w:rPr>
          <w:rFonts w:eastAsia="Calibri" w:cs="Times New Roman"/>
          <w:color w:val="70AD47" w:themeColor="accent6"/>
          <w:sz w:val="22"/>
          <w:szCs w:val="22"/>
        </w:rPr>
        <w:t xml:space="preserve"> </w:t>
      </w:r>
      <w:r w:rsidR="00C97EE0">
        <w:rPr>
          <w:rFonts w:eastAsia="Calibri" w:cs="Times New Roman"/>
          <w:color w:val="70AD47" w:themeColor="accent6"/>
          <w:sz w:val="22"/>
          <w:szCs w:val="22"/>
        </w:rPr>
        <w:t xml:space="preserve">from the prior period </w:t>
      </w:r>
      <w:r w:rsidR="0018594E">
        <w:rPr>
          <w:rFonts w:eastAsia="Calibri" w:cs="Times New Roman"/>
          <w:color w:val="70AD47" w:themeColor="accent6"/>
          <w:sz w:val="22"/>
          <w:szCs w:val="22"/>
        </w:rPr>
        <w:t>primarily due to a reduction of transmission employees in late 2022 and 2023</w:t>
      </w:r>
      <w:r w:rsidR="009170F5">
        <w:rPr>
          <w:rFonts w:eastAsia="Calibri" w:cs="Times New Roman"/>
          <w:color w:val="70AD47" w:themeColor="accent6"/>
          <w:sz w:val="22"/>
          <w:szCs w:val="22"/>
        </w:rPr>
        <w:t xml:space="preserve"> compared to prior years</w:t>
      </w:r>
      <w:r w:rsidR="0018594E">
        <w:rPr>
          <w:rFonts w:eastAsia="Calibri" w:cs="Times New Roman"/>
          <w:color w:val="70AD47" w:themeColor="accent6"/>
          <w:sz w:val="22"/>
          <w:szCs w:val="22"/>
        </w:rPr>
        <w:t>.</w:t>
      </w:r>
      <w:r w:rsidR="00280D02">
        <w:rPr>
          <w:rFonts w:eastAsia="Calibri" w:cs="Times New Roman"/>
          <w:color w:val="70AD47" w:themeColor="accent6"/>
          <w:sz w:val="22"/>
          <w:szCs w:val="22"/>
        </w:rPr>
        <w:t xml:space="preserve">  Some of these transmission positions have been replaced and 2024 and bring the expense closer to prior years.</w:t>
      </w:r>
    </w:p>
    <w:p w14:paraId="4CFBA76D" w14:textId="77777777" w:rsidR="00BA1E5E" w:rsidRPr="00BA1E5E" w:rsidRDefault="00BA1E5E" w:rsidP="00BA1E5E">
      <w:pPr>
        <w:ind w:right="720"/>
      </w:pPr>
    </w:p>
    <w:p w14:paraId="6D52CF92" w14:textId="003ED976" w:rsidR="00BA1E5E" w:rsidRPr="006A7B59" w:rsidRDefault="00BA1E5E" w:rsidP="00BA1E5E">
      <w:pPr>
        <w:numPr>
          <w:ilvl w:val="1"/>
          <w:numId w:val="1"/>
        </w:numPr>
        <w:ind w:left="1440" w:right="720" w:hanging="1440"/>
        <w:rPr>
          <w:rFonts w:eastAsia="Calibri" w:cs="Times New Roman"/>
          <w:color w:val="70AD47" w:themeColor="accent6"/>
          <w:sz w:val="22"/>
          <w:szCs w:val="22"/>
        </w:rPr>
      </w:pPr>
      <w:bookmarkStart w:id="0" w:name="_Hlk172379393"/>
      <w:r w:rsidRPr="00BA1E5E">
        <w:rPr>
          <w:rFonts w:eastAsia="Calibri" w:cs="Times New Roman"/>
          <w:color w:val="auto"/>
          <w:sz w:val="22"/>
          <w:szCs w:val="22"/>
        </w:rPr>
        <w:t>Refer to Attachment H-1, Line</w:t>
      </w:r>
      <w:r w:rsidR="00E34CD9">
        <w:rPr>
          <w:rFonts w:eastAsia="Calibri" w:cs="Times New Roman"/>
          <w:color w:val="auto"/>
          <w:sz w:val="22"/>
          <w:szCs w:val="22"/>
        </w:rPr>
        <w:t xml:space="preserve"> 16</w:t>
      </w:r>
      <w:r w:rsidRPr="00BA1E5E">
        <w:rPr>
          <w:rFonts w:eastAsia="Calibri" w:cs="Times New Roman"/>
          <w:color w:val="auto"/>
          <w:sz w:val="22"/>
          <w:szCs w:val="22"/>
        </w:rPr>
        <w:t xml:space="preserve"> , </w:t>
      </w:r>
      <w:r w:rsidR="00E34CD9" w:rsidRPr="00E34CD9">
        <w:rPr>
          <w:rFonts w:eastAsia="Calibri" w:cs="Times New Roman"/>
          <w:color w:val="auto"/>
          <w:sz w:val="22"/>
          <w:szCs w:val="22"/>
        </w:rPr>
        <w:t>New Transmission Plant Additions for Current Calendar Year  (weighted by months in service)</w:t>
      </w:r>
      <w:r w:rsidR="00E34CD9">
        <w:rPr>
          <w:rFonts w:eastAsia="Calibri" w:cs="Times New Roman"/>
          <w:color w:val="auto"/>
          <w:sz w:val="22"/>
          <w:szCs w:val="22"/>
        </w:rPr>
        <w:t xml:space="preserve"> </w:t>
      </w:r>
      <w:r w:rsidRPr="00BA1E5E">
        <w:rPr>
          <w:rFonts w:eastAsia="Calibri" w:cs="Times New Roman"/>
          <w:color w:val="auto"/>
          <w:sz w:val="22"/>
          <w:szCs w:val="22"/>
        </w:rPr>
        <w:t>, in PSE’s 202</w:t>
      </w:r>
      <w:r w:rsidR="00E34CD9">
        <w:rPr>
          <w:rFonts w:eastAsia="Calibri" w:cs="Times New Roman"/>
          <w:color w:val="auto"/>
          <w:sz w:val="22"/>
          <w:szCs w:val="22"/>
        </w:rPr>
        <w:t>4</w:t>
      </w:r>
      <w:r w:rsidRPr="00BA1E5E">
        <w:rPr>
          <w:rFonts w:eastAsia="Calibri" w:cs="Times New Roman"/>
          <w:color w:val="auto"/>
          <w:sz w:val="22"/>
          <w:szCs w:val="22"/>
        </w:rPr>
        <w:t xml:space="preserve"> Annual Update Formula ‘202</w:t>
      </w:r>
      <w:r w:rsidR="008E55B4">
        <w:rPr>
          <w:rFonts w:eastAsia="Calibri" w:cs="Times New Roman"/>
          <w:color w:val="auto"/>
          <w:sz w:val="22"/>
          <w:szCs w:val="22"/>
        </w:rPr>
        <w:t>4</w:t>
      </w:r>
      <w:r w:rsidRPr="00BA1E5E">
        <w:rPr>
          <w:rFonts w:eastAsia="Calibri" w:cs="Times New Roman"/>
          <w:color w:val="auto"/>
          <w:sz w:val="22"/>
          <w:szCs w:val="22"/>
        </w:rPr>
        <w:t>_Formula_Rate_AATRR</w:t>
      </w:r>
      <w:r w:rsidR="00BE7472">
        <w:rPr>
          <w:rFonts w:eastAsia="Calibri" w:cs="Times New Roman"/>
          <w:color w:val="auto"/>
          <w:sz w:val="22"/>
          <w:szCs w:val="22"/>
        </w:rPr>
        <w:t>.</w:t>
      </w:r>
      <w:r w:rsidRPr="00BA1E5E">
        <w:rPr>
          <w:rFonts w:eastAsia="Calibri" w:cs="Times New Roman"/>
          <w:color w:val="auto"/>
          <w:sz w:val="22"/>
          <w:szCs w:val="22"/>
        </w:rPr>
        <w:t xml:space="preserve">’ </w:t>
      </w:r>
      <w:r w:rsidR="00BE7472">
        <w:rPr>
          <w:rFonts w:eastAsia="Calibri" w:cs="Times New Roman"/>
          <w:color w:val="auto"/>
          <w:sz w:val="22"/>
          <w:szCs w:val="22"/>
        </w:rPr>
        <w:t xml:space="preserve"> P</w:t>
      </w:r>
      <w:r w:rsidRPr="00BA1E5E">
        <w:rPr>
          <w:rFonts w:eastAsia="Calibri" w:cs="Times New Roman"/>
          <w:color w:val="auto"/>
          <w:sz w:val="22"/>
          <w:szCs w:val="22"/>
        </w:rPr>
        <w:t xml:space="preserve">lease provide a detailed explanation for the </w:t>
      </w:r>
      <w:r w:rsidR="00E34CD9">
        <w:rPr>
          <w:rFonts w:eastAsia="Calibri" w:cs="Times New Roman"/>
          <w:color w:val="auto"/>
          <w:sz w:val="22"/>
          <w:szCs w:val="22"/>
        </w:rPr>
        <w:t>116.42%</w:t>
      </w:r>
      <w:r w:rsidRPr="00BA1E5E">
        <w:rPr>
          <w:rFonts w:eastAsia="Calibri" w:cs="Times New Roman"/>
          <w:color w:val="auto"/>
          <w:sz w:val="22"/>
          <w:szCs w:val="22"/>
        </w:rPr>
        <w:t xml:space="preserve"> increase, including a summary of the main drivers.</w:t>
      </w:r>
      <w:bookmarkEnd w:id="0"/>
      <w:r w:rsidR="006A7B59">
        <w:rPr>
          <w:rFonts w:eastAsia="Calibri" w:cs="Times New Roman"/>
          <w:color w:val="auto"/>
          <w:sz w:val="22"/>
          <w:szCs w:val="22"/>
        </w:rPr>
        <w:t xml:space="preserve">                           </w:t>
      </w:r>
      <w:r w:rsidR="006A7B59" w:rsidRPr="00AF3516">
        <w:rPr>
          <w:rFonts w:eastAsia="Calibri" w:cs="Times New Roman"/>
          <w:b/>
          <w:color w:val="70AD47" w:themeColor="accent6"/>
          <w:sz w:val="22"/>
          <w:szCs w:val="22"/>
        </w:rPr>
        <w:t>PSE Response to BPA 1.2</w:t>
      </w:r>
      <w:r w:rsidR="006A7B59">
        <w:rPr>
          <w:rFonts w:eastAsia="Calibri" w:cs="Times New Roman"/>
          <w:color w:val="70AD47" w:themeColor="accent6"/>
          <w:sz w:val="22"/>
          <w:szCs w:val="22"/>
        </w:rPr>
        <w:t>:  Referring to formula line 16, New Transmission Plant Additions increased 116.42%</w:t>
      </w:r>
      <w:r w:rsidR="0018594E">
        <w:rPr>
          <w:rFonts w:eastAsia="Calibri" w:cs="Times New Roman"/>
          <w:color w:val="70AD47" w:themeColor="accent6"/>
          <w:sz w:val="22"/>
          <w:szCs w:val="22"/>
        </w:rPr>
        <w:t xml:space="preserve"> </w:t>
      </w:r>
      <w:r w:rsidR="00C97EE0">
        <w:rPr>
          <w:rFonts w:eastAsia="Calibri" w:cs="Times New Roman"/>
          <w:color w:val="70AD47" w:themeColor="accent6"/>
          <w:sz w:val="22"/>
          <w:szCs w:val="22"/>
        </w:rPr>
        <w:t xml:space="preserve">over the prior period </w:t>
      </w:r>
      <w:r w:rsidR="0018594E">
        <w:rPr>
          <w:rFonts w:eastAsia="Calibri" w:cs="Times New Roman"/>
          <w:color w:val="70AD47" w:themeColor="accent6"/>
          <w:sz w:val="22"/>
          <w:szCs w:val="22"/>
        </w:rPr>
        <w:t xml:space="preserve">primarily due to increased planned transmission projects to meet Washington </w:t>
      </w:r>
      <w:r w:rsidR="008F303A">
        <w:rPr>
          <w:rFonts w:eastAsia="Calibri" w:cs="Times New Roman"/>
          <w:color w:val="70AD47" w:themeColor="accent6"/>
          <w:sz w:val="22"/>
          <w:szCs w:val="22"/>
        </w:rPr>
        <w:t>State’s</w:t>
      </w:r>
      <w:r w:rsidR="0018594E">
        <w:rPr>
          <w:rFonts w:eastAsia="Calibri" w:cs="Times New Roman"/>
          <w:color w:val="70AD47" w:themeColor="accent6"/>
          <w:sz w:val="22"/>
          <w:szCs w:val="22"/>
        </w:rPr>
        <w:t xml:space="preserve"> Clean Energy Transformation Act and </w:t>
      </w:r>
      <w:r w:rsidR="008F303A">
        <w:rPr>
          <w:rFonts w:eastAsia="Calibri" w:cs="Times New Roman"/>
          <w:color w:val="70AD47" w:themeColor="accent6"/>
          <w:sz w:val="22"/>
          <w:szCs w:val="22"/>
        </w:rPr>
        <w:t>needed</w:t>
      </w:r>
      <w:r w:rsidR="0018594E">
        <w:rPr>
          <w:rFonts w:eastAsia="Calibri" w:cs="Times New Roman"/>
          <w:color w:val="70AD47" w:themeColor="accent6"/>
          <w:sz w:val="22"/>
          <w:szCs w:val="22"/>
        </w:rPr>
        <w:t xml:space="preserve"> transmission upgrades.  PSE transmission holds an annual </w:t>
      </w:r>
      <w:r w:rsidR="008F303A">
        <w:rPr>
          <w:rFonts w:eastAsia="Calibri" w:cs="Times New Roman"/>
          <w:color w:val="70AD47" w:themeColor="accent6"/>
          <w:sz w:val="22"/>
          <w:szCs w:val="22"/>
        </w:rPr>
        <w:t xml:space="preserve">PSE OATT </w:t>
      </w:r>
      <w:r w:rsidR="0018594E">
        <w:rPr>
          <w:rFonts w:eastAsia="Calibri" w:cs="Times New Roman"/>
          <w:color w:val="70AD47" w:themeColor="accent6"/>
          <w:sz w:val="22"/>
          <w:szCs w:val="22"/>
        </w:rPr>
        <w:t>Attachment K</w:t>
      </w:r>
      <w:r w:rsidR="00BB23D9">
        <w:rPr>
          <w:rFonts w:eastAsia="Calibri" w:cs="Times New Roman"/>
          <w:color w:val="70AD47" w:themeColor="accent6"/>
          <w:sz w:val="22"/>
          <w:szCs w:val="22"/>
        </w:rPr>
        <w:t xml:space="preserve"> meeting for transmission customers that details PSE’s planned transmission projects</w:t>
      </w:r>
      <w:r w:rsidR="008F303A">
        <w:rPr>
          <w:rFonts w:eastAsia="Calibri" w:cs="Times New Roman"/>
          <w:color w:val="70AD47" w:themeColor="accent6"/>
          <w:sz w:val="22"/>
          <w:szCs w:val="22"/>
        </w:rPr>
        <w:t>, past presentations can be found on the PSE OASIS site</w:t>
      </w:r>
      <w:r w:rsidR="00BB23D9">
        <w:rPr>
          <w:rFonts w:eastAsia="Calibri" w:cs="Times New Roman"/>
          <w:color w:val="70AD47" w:themeColor="accent6"/>
          <w:sz w:val="22"/>
          <w:szCs w:val="22"/>
        </w:rPr>
        <w:t>.</w:t>
      </w:r>
    </w:p>
    <w:p w14:paraId="1CF1FF1D" w14:textId="77777777" w:rsidR="00BA1E5E" w:rsidRPr="00BA1E5E" w:rsidRDefault="00BA1E5E" w:rsidP="00BA1E5E">
      <w:pPr>
        <w:ind w:right="720"/>
        <w:rPr>
          <w:rFonts w:eastAsia="Calibri" w:cs="Times New Roman"/>
          <w:color w:val="auto"/>
          <w:sz w:val="22"/>
          <w:szCs w:val="22"/>
        </w:rPr>
      </w:pPr>
    </w:p>
    <w:p w14:paraId="0AD4C4BE" w14:textId="60EE0290" w:rsidR="00BE7472" w:rsidRPr="00E4708E" w:rsidRDefault="00BA1E5E" w:rsidP="00BA1E5E">
      <w:pPr>
        <w:pStyle w:val="ListParagraph"/>
        <w:numPr>
          <w:ilvl w:val="1"/>
          <w:numId w:val="1"/>
        </w:numPr>
        <w:spacing w:after="0" w:line="240" w:lineRule="auto"/>
        <w:ind w:left="1440" w:right="720" w:hanging="1440"/>
        <w:contextualSpacing w:val="0"/>
        <w:rPr>
          <w:rFonts w:ascii="Garamond" w:hAnsi="Garamond"/>
        </w:rPr>
      </w:pPr>
      <w:r w:rsidRPr="003852B6">
        <w:rPr>
          <w:rFonts w:ascii="Garamond" w:hAnsi="Garamond"/>
        </w:rPr>
        <w:t xml:space="preserve">Refer to Attachment H-1, </w:t>
      </w:r>
      <w:r>
        <w:rPr>
          <w:rFonts w:ascii="Garamond" w:hAnsi="Garamond"/>
        </w:rPr>
        <w:t xml:space="preserve">Line </w:t>
      </w:r>
      <w:r w:rsidR="008E55B4">
        <w:rPr>
          <w:rFonts w:ascii="Garamond" w:hAnsi="Garamond"/>
        </w:rPr>
        <w:t>54</w:t>
      </w:r>
      <w:r>
        <w:rPr>
          <w:rFonts w:ascii="Garamond" w:hAnsi="Garamond"/>
        </w:rPr>
        <w:t xml:space="preserve">, </w:t>
      </w:r>
      <w:r w:rsidR="008E55B4" w:rsidRPr="008E55B4">
        <w:rPr>
          <w:rFonts w:ascii="Garamond" w:hAnsi="Garamond"/>
        </w:rPr>
        <w:t>Accumulated Intangible Depreciation</w:t>
      </w:r>
      <w:r>
        <w:rPr>
          <w:rFonts w:ascii="Garamond" w:hAnsi="Garamond"/>
        </w:rPr>
        <w:t>, in PSE’s 202</w:t>
      </w:r>
      <w:r w:rsidR="008E55B4">
        <w:rPr>
          <w:rFonts w:ascii="Garamond" w:hAnsi="Garamond"/>
        </w:rPr>
        <w:t>4</w:t>
      </w:r>
      <w:r w:rsidRPr="003852B6">
        <w:rPr>
          <w:rFonts w:ascii="Garamond" w:hAnsi="Garamond"/>
        </w:rPr>
        <w:t xml:space="preserve"> Annual Update Formula,</w:t>
      </w:r>
      <w:r>
        <w:rPr>
          <w:rFonts w:ascii="Garamond" w:hAnsi="Garamond"/>
        </w:rPr>
        <w:t xml:space="preserve"> </w:t>
      </w:r>
      <w:r w:rsidRPr="003852B6">
        <w:rPr>
          <w:rFonts w:ascii="Garamond" w:hAnsi="Garamond"/>
        </w:rPr>
        <w:t>‘20</w:t>
      </w:r>
      <w:r>
        <w:rPr>
          <w:rFonts w:ascii="Garamond" w:hAnsi="Garamond"/>
        </w:rPr>
        <w:t>2</w:t>
      </w:r>
      <w:r w:rsidR="008E55B4">
        <w:rPr>
          <w:rFonts w:ascii="Garamond" w:hAnsi="Garamond"/>
        </w:rPr>
        <w:t>4</w:t>
      </w:r>
      <w:r w:rsidRPr="003852B6">
        <w:rPr>
          <w:rFonts w:ascii="Garamond" w:hAnsi="Garamond"/>
        </w:rPr>
        <w:t>_Formula_Rate_AATRR</w:t>
      </w:r>
      <w:r w:rsidR="00BE7472">
        <w:rPr>
          <w:rFonts w:ascii="Garamond" w:hAnsi="Garamond"/>
        </w:rPr>
        <w:t>.</w:t>
      </w:r>
      <w:r w:rsidRPr="003852B6">
        <w:rPr>
          <w:rFonts w:ascii="Garamond" w:hAnsi="Garamond"/>
        </w:rPr>
        <w:t xml:space="preserve">’ </w:t>
      </w:r>
      <w:r w:rsidR="00BE7472">
        <w:rPr>
          <w:rFonts w:ascii="Garamond" w:hAnsi="Garamond"/>
        </w:rPr>
        <w:t xml:space="preserve"> P</w:t>
      </w:r>
      <w:r w:rsidRPr="003852B6">
        <w:rPr>
          <w:rFonts w:ascii="Garamond" w:hAnsi="Garamond"/>
        </w:rPr>
        <w:t xml:space="preserve">lease provide a detailed explanation for the </w:t>
      </w:r>
      <w:r w:rsidR="008E55B4">
        <w:rPr>
          <w:rFonts w:ascii="Garamond" w:hAnsi="Garamond"/>
        </w:rPr>
        <w:t>47.37%</w:t>
      </w:r>
      <w:r w:rsidRPr="003852B6">
        <w:rPr>
          <w:rFonts w:ascii="Garamond" w:hAnsi="Garamond"/>
        </w:rPr>
        <w:t xml:space="preserve"> </w:t>
      </w:r>
      <w:r w:rsidR="008E55B4">
        <w:rPr>
          <w:rFonts w:ascii="Garamond" w:hAnsi="Garamond"/>
        </w:rPr>
        <w:t>decrease</w:t>
      </w:r>
      <w:r>
        <w:rPr>
          <w:rFonts w:ascii="Garamond" w:hAnsi="Garamond"/>
        </w:rPr>
        <w:t>, including a summary of the main drivers.</w:t>
      </w:r>
      <w:r w:rsidR="008747E3">
        <w:rPr>
          <w:rFonts w:ascii="Garamond" w:hAnsi="Garamond"/>
        </w:rPr>
        <w:t xml:space="preserve"> </w:t>
      </w:r>
      <w:r w:rsidR="006A7B59">
        <w:rPr>
          <w:rFonts w:ascii="Garamond" w:hAnsi="Garamond"/>
        </w:rPr>
        <w:t xml:space="preserve">                                                                                                                      </w:t>
      </w:r>
      <w:r w:rsidR="006A7B59" w:rsidRPr="00AF3516">
        <w:rPr>
          <w:rFonts w:ascii="Garamond" w:hAnsi="Garamond"/>
          <w:b/>
          <w:color w:val="70AD47" w:themeColor="accent6"/>
        </w:rPr>
        <w:t>PSE Response to BPA 1.3</w:t>
      </w:r>
      <w:r w:rsidR="006A7B59" w:rsidRPr="00C97EE0">
        <w:rPr>
          <w:rFonts w:ascii="Garamond" w:hAnsi="Garamond"/>
          <w:color w:val="70AD47" w:themeColor="accent6"/>
        </w:rPr>
        <w:t>:</w:t>
      </w:r>
      <w:r w:rsidR="00C97EE0" w:rsidRPr="00C97EE0">
        <w:rPr>
          <w:rFonts w:ascii="Garamond" w:hAnsi="Garamond"/>
          <w:color w:val="70AD47" w:themeColor="accent6"/>
        </w:rPr>
        <w:t xml:space="preserve"> Referring</w:t>
      </w:r>
      <w:r w:rsidR="00C97EE0">
        <w:rPr>
          <w:rFonts w:ascii="Garamond" w:hAnsi="Garamond"/>
          <w:color w:val="70AD47" w:themeColor="accent6"/>
        </w:rPr>
        <w:t xml:space="preserve"> to Accumulated Intangible Depreciation</w:t>
      </w:r>
      <w:r w:rsidR="008F303A">
        <w:rPr>
          <w:rFonts w:ascii="Garamond" w:hAnsi="Garamond"/>
          <w:color w:val="70AD47" w:themeColor="accent6"/>
        </w:rPr>
        <w:t>, which is formula line 34,</w:t>
      </w:r>
      <w:r w:rsidR="00C97EE0">
        <w:rPr>
          <w:rFonts w:ascii="Garamond" w:hAnsi="Garamond"/>
          <w:color w:val="70AD47" w:themeColor="accent6"/>
        </w:rPr>
        <w:t xml:space="preserve"> decreased 47.37% over the prior period primarily</w:t>
      </w:r>
      <w:r w:rsidR="008F303A">
        <w:rPr>
          <w:rFonts w:ascii="Garamond" w:hAnsi="Garamond"/>
          <w:color w:val="70AD47" w:themeColor="accent6"/>
        </w:rPr>
        <w:t xml:space="preserve"> due to </w:t>
      </w:r>
      <w:r w:rsidR="00E4708E">
        <w:rPr>
          <w:rFonts w:ascii="Garamond" w:hAnsi="Garamond"/>
          <w:color w:val="70AD47" w:themeColor="accent6"/>
        </w:rPr>
        <w:t xml:space="preserve">certain </w:t>
      </w:r>
      <w:r w:rsidR="008F303A">
        <w:rPr>
          <w:rFonts w:ascii="Garamond" w:hAnsi="Garamond"/>
          <w:color w:val="70AD47" w:themeColor="accent6"/>
        </w:rPr>
        <w:t xml:space="preserve">intangible assets </w:t>
      </w:r>
      <w:r w:rsidR="00E4708E">
        <w:rPr>
          <w:rFonts w:ascii="Garamond" w:hAnsi="Garamond"/>
          <w:color w:val="70AD47" w:themeColor="accent6"/>
        </w:rPr>
        <w:t>retired</w:t>
      </w:r>
      <w:r w:rsidR="007B38DA">
        <w:rPr>
          <w:rFonts w:ascii="Garamond" w:hAnsi="Garamond"/>
          <w:color w:val="70AD47" w:themeColor="accent6"/>
        </w:rPr>
        <w:t xml:space="preserve"> in 202</w:t>
      </w:r>
      <w:r w:rsidR="00E4708E">
        <w:rPr>
          <w:rFonts w:ascii="Garamond" w:hAnsi="Garamond"/>
          <w:color w:val="70AD47" w:themeColor="accent6"/>
        </w:rPr>
        <w:t>3.  The largest retirement was an Outage Management System for $55.4 million that was replaced by a different system</w:t>
      </w:r>
    </w:p>
    <w:p w14:paraId="65309B98" w14:textId="77777777" w:rsidR="00E4708E" w:rsidRPr="00E4708E" w:rsidRDefault="00E4708E" w:rsidP="00E4708E">
      <w:pPr>
        <w:pStyle w:val="ListParagraph"/>
        <w:rPr>
          <w:rFonts w:ascii="Garamond" w:hAnsi="Garamond"/>
        </w:rPr>
      </w:pPr>
    </w:p>
    <w:p w14:paraId="36755E28" w14:textId="642D33A0" w:rsidR="00BE7472" w:rsidRPr="00E4708E" w:rsidRDefault="006B6D2C" w:rsidP="00E4708E">
      <w:pPr>
        <w:pStyle w:val="ListParagraph"/>
        <w:numPr>
          <w:ilvl w:val="1"/>
          <w:numId w:val="1"/>
        </w:numPr>
        <w:spacing w:after="0" w:line="240" w:lineRule="auto"/>
        <w:ind w:left="1440" w:right="720" w:hanging="1440"/>
        <w:contextualSpacing w:val="0"/>
        <w:rPr>
          <w:rFonts w:ascii="Garamond" w:hAnsi="Garamond"/>
        </w:rPr>
      </w:pPr>
      <w:r w:rsidRPr="00E4708E">
        <w:rPr>
          <w:rFonts w:ascii="Garamond" w:hAnsi="Garamond"/>
        </w:rPr>
        <w:t>BPA</w:t>
      </w:r>
      <w:r w:rsidR="00DE25F2" w:rsidRPr="00E4708E">
        <w:rPr>
          <w:rFonts w:ascii="Garamond" w:hAnsi="Garamond"/>
        </w:rPr>
        <w:t xml:space="preserve"> noticed there are large swings based on the True Up’s the last two years, is PSE exploring ways to avoid such constant swings and to be more accurate.</w:t>
      </w:r>
      <w:r w:rsidR="006A7B59" w:rsidRPr="00E4708E">
        <w:rPr>
          <w:rFonts w:ascii="Garamond" w:hAnsi="Garamond"/>
        </w:rPr>
        <w:t xml:space="preserve">       </w:t>
      </w:r>
      <w:r w:rsidR="006A7B59" w:rsidRPr="00AF3516">
        <w:rPr>
          <w:rFonts w:ascii="Garamond" w:hAnsi="Garamond"/>
          <w:b/>
          <w:color w:val="70AD47" w:themeColor="accent6"/>
        </w:rPr>
        <w:t>PSE Response to BPA 1.4</w:t>
      </w:r>
      <w:r w:rsidR="006A7B59" w:rsidRPr="00E4708E">
        <w:rPr>
          <w:rFonts w:ascii="Garamond" w:hAnsi="Garamond"/>
          <w:color w:val="70AD47" w:themeColor="accent6"/>
        </w:rPr>
        <w:t>:</w:t>
      </w:r>
      <w:r w:rsidR="00E30DAC" w:rsidRPr="00E4708E">
        <w:rPr>
          <w:rFonts w:ascii="Garamond" w:hAnsi="Garamond"/>
          <w:color w:val="70AD47" w:themeColor="accent6"/>
        </w:rPr>
        <w:t xml:space="preserve">  </w:t>
      </w:r>
      <w:r w:rsidR="00E77130" w:rsidRPr="00E4708E">
        <w:rPr>
          <w:rFonts w:ascii="Garamond" w:hAnsi="Garamond"/>
          <w:color w:val="70AD47" w:themeColor="accent6"/>
        </w:rPr>
        <w:t xml:space="preserve">The nature of the True Up is to make transmission customers whole by reimbursing customers for any PSE over-recovery of costs or make PSE whole for any under-recovery of costs including the use of applying FERC interest to compensate for time.  </w:t>
      </w:r>
      <w:r w:rsidR="009170F5">
        <w:rPr>
          <w:rFonts w:ascii="Garamond" w:hAnsi="Garamond"/>
          <w:color w:val="70AD47" w:themeColor="accent6"/>
        </w:rPr>
        <w:t xml:space="preserve">The </w:t>
      </w:r>
      <w:r w:rsidR="00E30DAC" w:rsidRPr="00E4708E">
        <w:rPr>
          <w:rFonts w:ascii="Garamond" w:hAnsi="Garamond"/>
          <w:color w:val="70AD47" w:themeColor="accent6"/>
        </w:rPr>
        <w:t xml:space="preserve">PSE’s transmission formula rate is tied to the latest filed FERC Form 1 which only reports actual data for a particular calendar year, therefore the PSE transmission formula is tied to actual historic data regardless if PSE has known and measurable costs, or reduction in costs, that will </w:t>
      </w:r>
      <w:r w:rsidR="00E30DAC" w:rsidRPr="00E4708E">
        <w:rPr>
          <w:rFonts w:ascii="Garamond" w:hAnsi="Garamond"/>
          <w:color w:val="70AD47" w:themeColor="accent6"/>
        </w:rPr>
        <w:lastRenderedPageBreak/>
        <w:t>happe</w:t>
      </w:r>
      <w:r w:rsidR="00E77130" w:rsidRPr="00E4708E">
        <w:rPr>
          <w:rFonts w:ascii="Garamond" w:hAnsi="Garamond"/>
          <w:color w:val="70AD47" w:themeColor="accent6"/>
        </w:rPr>
        <w:t>n in the Annual Update period (</w:t>
      </w:r>
      <w:r w:rsidR="00E30DAC" w:rsidRPr="00E4708E">
        <w:rPr>
          <w:rFonts w:ascii="Garamond" w:hAnsi="Garamond"/>
          <w:color w:val="70AD47" w:themeColor="accent6"/>
        </w:rPr>
        <w:t xml:space="preserve">The only exception to this is formula line </w:t>
      </w:r>
      <w:r w:rsidR="00E77130" w:rsidRPr="00E4708E">
        <w:rPr>
          <w:rFonts w:ascii="Garamond" w:hAnsi="Garamond"/>
          <w:color w:val="70AD47" w:themeColor="accent6"/>
        </w:rPr>
        <w:t>16, New Transmission Plant Additions which is planned transmission plant additions over the Annual Update period, however, the forecasted transmission plant additions are not part of the True Up calculation).  Therefore, projected Annual Transmission Revenue Requirement (ATRR)</w:t>
      </w:r>
      <w:r w:rsidR="008D2A72" w:rsidRPr="00E4708E">
        <w:rPr>
          <w:rFonts w:ascii="Garamond" w:hAnsi="Garamond"/>
          <w:color w:val="70AD47" w:themeColor="accent6"/>
        </w:rPr>
        <w:t xml:space="preserve"> that derives the transmission rate is based on historical costs and not a forecast.  PSE does not perceive</w:t>
      </w:r>
      <w:r w:rsidR="009170F5">
        <w:rPr>
          <w:rFonts w:ascii="Garamond" w:hAnsi="Garamond"/>
          <w:color w:val="70AD47" w:themeColor="accent6"/>
        </w:rPr>
        <w:t xml:space="preserve"> having</w:t>
      </w:r>
      <w:r w:rsidR="008D2A72" w:rsidRPr="00E4708E">
        <w:rPr>
          <w:rFonts w:ascii="Garamond" w:hAnsi="Garamond"/>
          <w:color w:val="70AD47" w:themeColor="accent6"/>
        </w:rPr>
        <w:t xml:space="preserve"> any</w:t>
      </w:r>
      <w:r w:rsidR="009170F5">
        <w:rPr>
          <w:rFonts w:ascii="Garamond" w:hAnsi="Garamond"/>
          <w:color w:val="70AD47" w:themeColor="accent6"/>
        </w:rPr>
        <w:t xml:space="preserve"> available</w:t>
      </w:r>
      <w:r w:rsidR="008D2A72" w:rsidRPr="00E4708E">
        <w:rPr>
          <w:rFonts w:ascii="Garamond" w:hAnsi="Garamond"/>
          <w:color w:val="70AD47" w:themeColor="accent6"/>
        </w:rPr>
        <w:t xml:space="preserve"> tools in smoothing the swings in the True Up caused by changes in actual transmission costs year over year.  </w:t>
      </w:r>
      <w:r w:rsidR="007A5B65" w:rsidRPr="00E4708E">
        <w:rPr>
          <w:rFonts w:ascii="Garamond" w:hAnsi="Garamond"/>
          <w:color w:val="70AD47" w:themeColor="accent6"/>
        </w:rPr>
        <w:t xml:space="preserve">The nature of </w:t>
      </w:r>
      <w:r w:rsidR="009170F5">
        <w:rPr>
          <w:rFonts w:ascii="Garamond" w:hAnsi="Garamond"/>
          <w:color w:val="70AD47" w:themeColor="accent6"/>
        </w:rPr>
        <w:t>a</w:t>
      </w:r>
      <w:r w:rsidR="007A5B65" w:rsidRPr="00E4708E">
        <w:rPr>
          <w:rFonts w:ascii="Garamond" w:hAnsi="Garamond"/>
          <w:color w:val="70AD47" w:themeColor="accent6"/>
        </w:rPr>
        <w:t xml:space="preserve"> True Up </w:t>
      </w:r>
      <w:r w:rsidR="009170F5">
        <w:rPr>
          <w:rFonts w:ascii="Garamond" w:hAnsi="Garamond"/>
          <w:color w:val="70AD47" w:themeColor="accent6"/>
        </w:rPr>
        <w:t>correcting over or under recovery plus interest</w:t>
      </w:r>
      <w:r w:rsidR="007A5B65" w:rsidRPr="00E4708E">
        <w:rPr>
          <w:rFonts w:ascii="Garamond" w:hAnsi="Garamond"/>
          <w:color w:val="70AD47" w:themeColor="accent6"/>
        </w:rPr>
        <w:t xml:space="preserve"> will amplify the change in revenue requirement from the prior period.                                                                                                                                                                                           </w:t>
      </w:r>
      <w:r w:rsidR="008D2A72" w:rsidRPr="00E4708E">
        <w:rPr>
          <w:rFonts w:ascii="Garamond" w:hAnsi="Garamond"/>
          <w:color w:val="70AD47" w:themeColor="accent6"/>
        </w:rPr>
        <w:t xml:space="preserve">PSE’s </w:t>
      </w:r>
      <w:r w:rsidR="009170F5">
        <w:rPr>
          <w:rFonts w:ascii="Garamond" w:hAnsi="Garamond"/>
          <w:color w:val="70AD47" w:themeColor="accent6"/>
        </w:rPr>
        <w:t xml:space="preserve">isolated </w:t>
      </w:r>
      <w:r w:rsidR="008D2A72" w:rsidRPr="00E4708E">
        <w:rPr>
          <w:rFonts w:ascii="Garamond" w:hAnsi="Garamond"/>
          <w:color w:val="70AD47" w:themeColor="accent6"/>
        </w:rPr>
        <w:t>Colstrip and Southern Intertie segments are even more susceptible to swings in the True Up and rates especially with loads.  Colstrip in particular has been tied to the Colstrip Generating Station that is in the process of closing to comply with Washington state CETA requirements.  Load amounts are going to continue to vary significantly as generation types change on that segment.  Since the transmission rate is historical costs and tied to the Form 1, PSE does not have any tools to adjust known and measurable changes in load to smooth out the True Up.</w:t>
      </w:r>
      <w:r w:rsidR="00B534EE" w:rsidRPr="00E4708E">
        <w:rPr>
          <w:rFonts w:ascii="Garamond" w:hAnsi="Garamond"/>
          <w:color w:val="70AD47" w:themeColor="accent6"/>
        </w:rPr>
        <w:t xml:space="preserve">  Bundling Colstrip and Southern Intertie into the WA rate would reduce the rate swing, but PSE is currently not seeking bundling.</w:t>
      </w:r>
    </w:p>
    <w:p w14:paraId="547FB632" w14:textId="77777777" w:rsidR="00DE25F2" w:rsidRPr="00DE25F2" w:rsidRDefault="00DE25F2" w:rsidP="00DE25F2">
      <w:pPr>
        <w:pStyle w:val="ListParagraph"/>
        <w:rPr>
          <w:rFonts w:ascii="Garamond" w:hAnsi="Garamond"/>
        </w:rPr>
      </w:pPr>
    </w:p>
    <w:p w14:paraId="7F234FCB" w14:textId="40F52DBC" w:rsidR="00676B72" w:rsidRDefault="00DE25F2" w:rsidP="00676B72">
      <w:pPr>
        <w:pStyle w:val="ListParagraph"/>
        <w:numPr>
          <w:ilvl w:val="1"/>
          <w:numId w:val="1"/>
        </w:numPr>
        <w:spacing w:after="0" w:line="240" w:lineRule="auto"/>
        <w:ind w:left="1440" w:right="720" w:hanging="1440"/>
        <w:contextualSpacing w:val="0"/>
        <w:rPr>
          <w:rFonts w:ascii="Garamond" w:hAnsi="Garamond"/>
        </w:rPr>
      </w:pPr>
      <w:bookmarkStart w:id="1" w:name="_Hlk172379611"/>
      <w:bookmarkStart w:id="2" w:name="_Hlk172380100"/>
      <w:r w:rsidRPr="00DE25F2">
        <w:rPr>
          <w:rFonts w:ascii="Garamond" w:hAnsi="Garamond"/>
        </w:rPr>
        <w:t xml:space="preserve">Refer to Attachment H-1, Line </w:t>
      </w:r>
      <w:proofErr w:type="gramStart"/>
      <w:r w:rsidRPr="00DE25F2">
        <w:rPr>
          <w:rFonts w:ascii="Garamond" w:hAnsi="Garamond"/>
        </w:rPr>
        <w:t>16</w:t>
      </w:r>
      <w:r>
        <w:rPr>
          <w:rFonts w:ascii="Garamond" w:hAnsi="Garamond"/>
        </w:rPr>
        <w:t>3</w:t>
      </w:r>
      <w:r w:rsidRPr="00DE25F2">
        <w:rPr>
          <w:rFonts w:ascii="Garamond" w:hAnsi="Garamond"/>
        </w:rPr>
        <w:t xml:space="preserve"> ,</w:t>
      </w:r>
      <w:proofErr w:type="gramEnd"/>
      <w:r w:rsidRPr="00DE25F2">
        <w:rPr>
          <w:rFonts w:ascii="Garamond" w:hAnsi="Garamond"/>
        </w:rPr>
        <w:t xml:space="preserve"> </w:t>
      </w:r>
      <w:r>
        <w:rPr>
          <w:rFonts w:ascii="Garamond" w:hAnsi="Garamond"/>
        </w:rPr>
        <w:t>Revenue Credits</w:t>
      </w:r>
      <w:r w:rsidRPr="00DE25F2">
        <w:rPr>
          <w:rFonts w:ascii="Garamond" w:hAnsi="Garamond"/>
        </w:rPr>
        <w:t xml:space="preserve"> , in PSE’s 2024 Annual Update Formula ‘2024_Formula_Rate_AATRR.’  Please provide a detailed explanation for the </w:t>
      </w:r>
      <w:r>
        <w:rPr>
          <w:rFonts w:ascii="Garamond" w:hAnsi="Garamond"/>
        </w:rPr>
        <w:t xml:space="preserve">39.39% </w:t>
      </w:r>
      <w:r w:rsidRPr="00DE25F2">
        <w:rPr>
          <w:rFonts w:ascii="Garamond" w:hAnsi="Garamond"/>
        </w:rPr>
        <w:t>increase, including a summary of the main drivers.</w:t>
      </w:r>
      <w:bookmarkEnd w:id="1"/>
      <w:r w:rsidR="006A7B59">
        <w:rPr>
          <w:rFonts w:ascii="Garamond" w:hAnsi="Garamond"/>
        </w:rPr>
        <w:t xml:space="preserve">     </w:t>
      </w:r>
      <w:r w:rsidR="006A7B59" w:rsidRPr="00AF3516">
        <w:rPr>
          <w:rFonts w:ascii="Garamond" w:hAnsi="Garamond"/>
          <w:b/>
          <w:color w:val="70AD47" w:themeColor="accent6"/>
        </w:rPr>
        <w:t>PSE Response to BPA 1.5:</w:t>
      </w:r>
      <w:r w:rsidR="00C97EE0">
        <w:rPr>
          <w:rFonts w:ascii="Garamond" w:hAnsi="Garamond"/>
          <w:color w:val="70AD47" w:themeColor="accent6"/>
        </w:rPr>
        <w:t xml:space="preserve"> Referring to formula line 163, Revenue Credits, increased 39.39% over the prior period, thereby reducing the PSE transmission revenue requirement, is primarily due to PSE Merchant’s increased use of short-term transmission</w:t>
      </w:r>
      <w:r w:rsidR="00280D02">
        <w:rPr>
          <w:rFonts w:ascii="Garamond" w:hAnsi="Garamond"/>
          <w:color w:val="70AD47" w:themeColor="accent6"/>
        </w:rPr>
        <w:t xml:space="preserve"> which is significantly driven by the increase in variable generation on the system</w:t>
      </w:r>
      <w:bookmarkStart w:id="3" w:name="_GoBack"/>
      <w:bookmarkEnd w:id="3"/>
      <w:r w:rsidR="00C97EE0">
        <w:rPr>
          <w:rFonts w:ascii="Garamond" w:hAnsi="Garamond"/>
          <w:color w:val="70AD47" w:themeColor="accent6"/>
        </w:rPr>
        <w:t>.</w:t>
      </w:r>
    </w:p>
    <w:p w14:paraId="7241D46D" w14:textId="77777777" w:rsidR="00676B72" w:rsidRPr="00676B72" w:rsidRDefault="00676B72" w:rsidP="00676B72">
      <w:pPr>
        <w:pStyle w:val="ListParagraph"/>
        <w:rPr>
          <w:rFonts w:ascii="Garamond" w:hAnsi="Garamond"/>
        </w:rPr>
      </w:pPr>
    </w:p>
    <w:bookmarkEnd w:id="2"/>
    <w:p w14:paraId="0451F6F4" w14:textId="632C9FE7" w:rsidR="00676B72" w:rsidRDefault="00676B72" w:rsidP="00676B72">
      <w:pPr>
        <w:pStyle w:val="ListParagraph"/>
        <w:numPr>
          <w:ilvl w:val="1"/>
          <w:numId w:val="1"/>
        </w:numPr>
        <w:spacing w:after="0" w:line="240" w:lineRule="auto"/>
        <w:ind w:left="1440" w:right="720" w:hanging="1440"/>
        <w:contextualSpacing w:val="0"/>
        <w:rPr>
          <w:rFonts w:ascii="Garamond" w:hAnsi="Garamond"/>
        </w:rPr>
      </w:pPr>
      <w:r w:rsidRPr="00676B72">
        <w:rPr>
          <w:rFonts w:ascii="Garamond" w:hAnsi="Garamond"/>
        </w:rPr>
        <w:t xml:space="preserve">Refer to Attachment H-1, Line </w:t>
      </w:r>
      <w:proofErr w:type="gramStart"/>
      <w:r w:rsidRPr="00676B72">
        <w:rPr>
          <w:rFonts w:ascii="Garamond" w:hAnsi="Garamond"/>
        </w:rPr>
        <w:t>1</w:t>
      </w:r>
      <w:r>
        <w:rPr>
          <w:rFonts w:ascii="Garamond" w:hAnsi="Garamond"/>
        </w:rPr>
        <w:t>51</w:t>
      </w:r>
      <w:r w:rsidRPr="00676B72">
        <w:rPr>
          <w:rFonts w:ascii="Garamond" w:hAnsi="Garamond"/>
        </w:rPr>
        <w:t xml:space="preserve"> ,</w:t>
      </w:r>
      <w:proofErr w:type="gramEnd"/>
      <w:r w:rsidRPr="00676B72">
        <w:rPr>
          <w:rFonts w:ascii="Garamond" w:hAnsi="Garamond"/>
        </w:rPr>
        <w:t xml:space="preserve"> </w:t>
      </w:r>
      <w:r>
        <w:rPr>
          <w:rFonts w:ascii="Garamond" w:hAnsi="Garamond"/>
        </w:rPr>
        <w:t>O&amp;M</w:t>
      </w:r>
      <w:r w:rsidRPr="00676B72">
        <w:rPr>
          <w:rFonts w:ascii="Garamond" w:hAnsi="Garamond"/>
        </w:rPr>
        <w:t xml:space="preserve"> , in PSE’s 2024 Annual</w:t>
      </w:r>
      <w:r>
        <w:rPr>
          <w:rFonts w:ascii="Garamond" w:hAnsi="Garamond"/>
        </w:rPr>
        <w:t xml:space="preserve"> </w:t>
      </w:r>
      <w:r w:rsidRPr="00676B72">
        <w:rPr>
          <w:rFonts w:ascii="Garamond" w:hAnsi="Garamond"/>
        </w:rPr>
        <w:t xml:space="preserve">Update Formula ‘2024_Formula_Rate_AATRR.’  Please provide a detailed explanation for the </w:t>
      </w:r>
      <w:r>
        <w:rPr>
          <w:rFonts w:ascii="Garamond" w:hAnsi="Garamond"/>
        </w:rPr>
        <w:t>13.01</w:t>
      </w:r>
      <w:r w:rsidRPr="00676B72">
        <w:rPr>
          <w:rFonts w:ascii="Garamond" w:hAnsi="Garamond"/>
        </w:rPr>
        <w:t xml:space="preserve">% </w:t>
      </w:r>
      <w:r>
        <w:rPr>
          <w:rFonts w:ascii="Garamond" w:hAnsi="Garamond"/>
        </w:rPr>
        <w:t>de</w:t>
      </w:r>
      <w:r w:rsidRPr="00676B72">
        <w:rPr>
          <w:rFonts w:ascii="Garamond" w:hAnsi="Garamond"/>
        </w:rPr>
        <w:t>crease, including a summary of the main drivers.</w:t>
      </w:r>
      <w:r w:rsidR="006A7B59">
        <w:rPr>
          <w:rFonts w:ascii="Garamond" w:hAnsi="Garamond"/>
        </w:rPr>
        <w:t xml:space="preserve">                                  </w:t>
      </w:r>
      <w:r w:rsidR="006A7B59" w:rsidRPr="00AF3516">
        <w:rPr>
          <w:rFonts w:ascii="Garamond" w:hAnsi="Garamond"/>
          <w:b/>
          <w:color w:val="70AD47" w:themeColor="accent6"/>
        </w:rPr>
        <w:t>PSE Response to BPA 1.6:</w:t>
      </w:r>
      <w:r w:rsidR="007572AD">
        <w:rPr>
          <w:rFonts w:ascii="Garamond" w:hAnsi="Garamond"/>
          <w:color w:val="70AD47" w:themeColor="accent6"/>
        </w:rPr>
        <w:t xml:space="preserve"> Referring to formula line 151, Operations and Maintenance, decreased 13.01% over the prior period primarily due to </w:t>
      </w:r>
      <w:r w:rsidR="00F30DB4">
        <w:rPr>
          <w:rFonts w:ascii="Garamond" w:hAnsi="Garamond"/>
          <w:color w:val="70AD47" w:themeColor="accent6"/>
        </w:rPr>
        <w:t>a reduction in costs required to perform O&amp;M projects than in the previous period.</w:t>
      </w:r>
      <w:r w:rsidR="006A7B59" w:rsidRPr="006A7B59">
        <w:rPr>
          <w:rFonts w:ascii="Garamond" w:hAnsi="Garamond"/>
          <w:color w:val="70AD47" w:themeColor="accent6"/>
        </w:rPr>
        <w:t xml:space="preserve"> </w:t>
      </w:r>
    </w:p>
    <w:p w14:paraId="77D7BE1E" w14:textId="77777777" w:rsidR="000C65E7" w:rsidRPr="000C65E7" w:rsidRDefault="000C65E7" w:rsidP="000C65E7">
      <w:pPr>
        <w:pStyle w:val="ListParagraph"/>
        <w:rPr>
          <w:rFonts w:ascii="Garamond" w:hAnsi="Garamond"/>
        </w:rPr>
      </w:pPr>
    </w:p>
    <w:p w14:paraId="52E00975" w14:textId="77777777" w:rsidR="000C65E7" w:rsidRPr="00676B72" w:rsidRDefault="000C65E7" w:rsidP="003D510D">
      <w:pPr>
        <w:pStyle w:val="ListParagraph"/>
        <w:spacing w:after="0" w:line="240" w:lineRule="auto"/>
        <w:ind w:left="1440" w:right="720"/>
        <w:contextualSpacing w:val="0"/>
        <w:rPr>
          <w:rFonts w:ascii="Garamond" w:hAnsi="Garamond"/>
        </w:rPr>
      </w:pPr>
    </w:p>
    <w:p w14:paraId="4FA9F9A6" w14:textId="77777777" w:rsidR="00BE7472" w:rsidRPr="000C6ECE" w:rsidRDefault="00BE7472" w:rsidP="000C6ECE">
      <w:pPr>
        <w:pStyle w:val="ListParagraph"/>
        <w:rPr>
          <w:rFonts w:ascii="Garamond" w:hAnsi="Garamond"/>
        </w:rPr>
      </w:pPr>
    </w:p>
    <w:p w14:paraId="188B91E6" w14:textId="77777777" w:rsidR="00BA1E5E" w:rsidRDefault="00BA1E5E"/>
    <w:sectPr w:rsidR="00BA1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927E8"/>
    <w:multiLevelType w:val="multilevel"/>
    <w:tmpl w:val="2D987CC4"/>
    <w:lvl w:ilvl="0">
      <w:start w:val="1"/>
      <w:numFmt w:val="decimal"/>
      <w:lvlText w:val="%1"/>
      <w:lvlJc w:val="left"/>
      <w:pPr>
        <w:ind w:left="720" w:hanging="720"/>
      </w:pPr>
      <w:rPr>
        <w:rFonts w:hint="default"/>
        <w:b/>
      </w:rPr>
    </w:lvl>
    <w:lvl w:ilvl="1">
      <w:start w:val="1"/>
      <w:numFmt w:val="decimal"/>
      <w:lvlText w:val="BPA 1. %2"/>
      <w:lvlJc w:val="left"/>
      <w:pPr>
        <w:ind w:left="1350" w:hanging="720"/>
      </w:pPr>
      <w:rPr>
        <w:rFonts w:hint="default"/>
        <w:b/>
        <w:color w:val="auto"/>
      </w:rPr>
    </w:lvl>
    <w:lvl w:ilvl="2">
      <w:start w:val="1"/>
      <w:numFmt w:val="lowerLetter"/>
      <w:lvlText w:val="%3"/>
      <w:lvlJc w:val="left"/>
      <w:pPr>
        <w:ind w:left="1296" w:firstLine="216"/>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0"/>
    <w:lvlOverride w:ilvl="0">
      <w:lvl w:ilvl="0">
        <w:start w:val="1"/>
        <w:numFmt w:val="decimal"/>
        <w:lvlText w:val="%1"/>
        <w:lvlJc w:val="left"/>
        <w:pPr>
          <w:ind w:left="720" w:hanging="720"/>
        </w:pPr>
        <w:rPr>
          <w:rFonts w:hint="default"/>
          <w:b/>
        </w:rPr>
      </w:lvl>
    </w:lvlOverride>
    <w:lvlOverride w:ilvl="1">
      <w:lvl w:ilvl="1">
        <w:start w:val="1"/>
        <w:numFmt w:val="decimal"/>
        <w:lvlText w:val="BPA 1. %2"/>
        <w:lvlJc w:val="left"/>
        <w:pPr>
          <w:ind w:left="720" w:hanging="720"/>
        </w:pPr>
        <w:rPr>
          <w:rFonts w:hint="default"/>
          <w:b/>
        </w:rPr>
      </w:lvl>
    </w:lvlOverride>
    <w:lvlOverride w:ilvl="2">
      <w:lvl w:ilvl="2">
        <w:start w:val="1"/>
        <w:numFmt w:val="lowerLetter"/>
        <w:lvlText w:val="%3"/>
        <w:lvlJc w:val="left"/>
        <w:pPr>
          <w:ind w:left="1296" w:firstLine="216"/>
        </w:pPr>
        <w:rPr>
          <w:rFonts w:hint="default"/>
          <w:b/>
        </w:rPr>
      </w:lvl>
    </w:lvlOverride>
    <w:lvlOverride w:ilvl="3">
      <w:lvl w:ilvl="3">
        <w:start w:val="1"/>
        <w:numFmt w:val="decimal"/>
        <w:lvlText w:val="%1.%2.%3.%4"/>
        <w:lvlJc w:val="left"/>
        <w:pPr>
          <w:ind w:left="1440" w:hanging="1440"/>
        </w:pPr>
        <w:rPr>
          <w:rFonts w:hint="default"/>
          <w:b/>
        </w:rPr>
      </w:lvl>
    </w:lvlOverride>
    <w:lvlOverride w:ilvl="4">
      <w:lvl w:ilvl="4">
        <w:start w:val="1"/>
        <w:numFmt w:val="decimal"/>
        <w:lvlText w:val="%1.%2.%3.%4.%5"/>
        <w:lvlJc w:val="left"/>
        <w:pPr>
          <w:ind w:left="1440" w:hanging="144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E"/>
    <w:rsid w:val="000320F9"/>
    <w:rsid w:val="00051349"/>
    <w:rsid w:val="000C65E7"/>
    <w:rsid w:val="000C6ECE"/>
    <w:rsid w:val="000D23AC"/>
    <w:rsid w:val="0012524E"/>
    <w:rsid w:val="0018594E"/>
    <w:rsid w:val="002434CE"/>
    <w:rsid w:val="002671A0"/>
    <w:rsid w:val="00280D02"/>
    <w:rsid w:val="002F7B3E"/>
    <w:rsid w:val="0030159A"/>
    <w:rsid w:val="00345269"/>
    <w:rsid w:val="003D510D"/>
    <w:rsid w:val="004C4093"/>
    <w:rsid w:val="00516735"/>
    <w:rsid w:val="00547055"/>
    <w:rsid w:val="005F00DD"/>
    <w:rsid w:val="00676B72"/>
    <w:rsid w:val="006A7B59"/>
    <w:rsid w:val="006B6D2C"/>
    <w:rsid w:val="00747A97"/>
    <w:rsid w:val="007572AD"/>
    <w:rsid w:val="0076767F"/>
    <w:rsid w:val="007A5B65"/>
    <w:rsid w:val="007B38DA"/>
    <w:rsid w:val="008747E3"/>
    <w:rsid w:val="00894B81"/>
    <w:rsid w:val="008D2A72"/>
    <w:rsid w:val="008E55B4"/>
    <w:rsid w:val="008F2129"/>
    <w:rsid w:val="008F303A"/>
    <w:rsid w:val="009170F5"/>
    <w:rsid w:val="00982F3B"/>
    <w:rsid w:val="00983D82"/>
    <w:rsid w:val="00AD01E7"/>
    <w:rsid w:val="00AD538D"/>
    <w:rsid w:val="00AF3516"/>
    <w:rsid w:val="00B13E80"/>
    <w:rsid w:val="00B534EE"/>
    <w:rsid w:val="00B91F1B"/>
    <w:rsid w:val="00BA1E5E"/>
    <w:rsid w:val="00BB23D9"/>
    <w:rsid w:val="00BE7472"/>
    <w:rsid w:val="00C901A8"/>
    <w:rsid w:val="00C97EE0"/>
    <w:rsid w:val="00D93724"/>
    <w:rsid w:val="00DE2112"/>
    <w:rsid w:val="00DE25F2"/>
    <w:rsid w:val="00E17038"/>
    <w:rsid w:val="00E30DAC"/>
    <w:rsid w:val="00E34CD9"/>
    <w:rsid w:val="00E4708E"/>
    <w:rsid w:val="00E77130"/>
    <w:rsid w:val="00EC4543"/>
    <w:rsid w:val="00F30DB4"/>
    <w:rsid w:val="00F962C6"/>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09C6"/>
  <w15:chartTrackingRefBased/>
  <w15:docId w15:val="{41900CF6-7339-4407-A40D-E032C6BD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E5E"/>
    <w:pPr>
      <w:spacing w:after="0" w:line="240" w:lineRule="auto"/>
    </w:pPr>
    <w:rPr>
      <w:rFonts w:ascii="Garamond" w:eastAsia="Times New Roman" w:hAnsi="Garamond" w:cs="Lucida Sans Unicode"/>
      <w:color w:val="22222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E5E"/>
    <w:rPr>
      <w:color w:val="0563C1" w:themeColor="hyperlink"/>
      <w:u w:val="single"/>
    </w:rPr>
  </w:style>
  <w:style w:type="paragraph" w:styleId="ListParagraph">
    <w:name w:val="List Paragraph"/>
    <w:basedOn w:val="Normal"/>
    <w:uiPriority w:val="34"/>
    <w:qFormat/>
    <w:rsid w:val="00BA1E5E"/>
    <w:pPr>
      <w:spacing w:after="200" w:line="276" w:lineRule="auto"/>
      <w:ind w:left="720"/>
      <w:contextualSpacing/>
    </w:pPr>
    <w:rPr>
      <w:rFonts w:asciiTheme="minorHAnsi" w:eastAsiaTheme="minorHAnsi" w:hAnsiTheme="minorHAnsi" w:cstheme="minorBidi"/>
      <w:color w:val="auto"/>
      <w:sz w:val="22"/>
      <w:szCs w:val="22"/>
    </w:rPr>
  </w:style>
  <w:style w:type="paragraph" w:styleId="BalloonText">
    <w:name w:val="Balloon Text"/>
    <w:basedOn w:val="Normal"/>
    <w:link w:val="BalloonTextChar"/>
    <w:uiPriority w:val="99"/>
    <w:semiHidden/>
    <w:unhideWhenUsed/>
    <w:rsid w:val="00BE7472"/>
    <w:rPr>
      <w:rFonts w:ascii="Segoe UI" w:hAnsi="Segoe UI" w:cs="Segoe UI"/>
      <w:sz w:val="18"/>
    </w:rPr>
  </w:style>
  <w:style w:type="character" w:customStyle="1" w:styleId="BalloonTextChar">
    <w:name w:val="Balloon Text Char"/>
    <w:basedOn w:val="DefaultParagraphFont"/>
    <w:link w:val="BalloonText"/>
    <w:uiPriority w:val="99"/>
    <w:semiHidden/>
    <w:rsid w:val="00BE7472"/>
    <w:rPr>
      <w:rFonts w:ascii="Segoe UI" w:eastAsia="Times New Roman" w:hAnsi="Segoe UI" w:cs="Segoe UI"/>
      <w:color w:val="222222"/>
      <w:sz w:val="18"/>
      <w:szCs w:val="18"/>
    </w:rPr>
  </w:style>
  <w:style w:type="paragraph" w:styleId="Revision">
    <w:name w:val="Revision"/>
    <w:hidden/>
    <w:uiPriority w:val="99"/>
    <w:semiHidden/>
    <w:rsid w:val="000C6ECE"/>
    <w:pPr>
      <w:spacing w:after="0" w:line="240" w:lineRule="auto"/>
    </w:pPr>
    <w:rPr>
      <w:rFonts w:ascii="Garamond" w:eastAsia="Times New Roman" w:hAnsi="Garamond" w:cs="Lucida Sans Unicode"/>
      <w:color w:val="222222"/>
      <w:sz w:val="24"/>
      <w:szCs w:val="18"/>
    </w:rPr>
  </w:style>
  <w:style w:type="paragraph" w:styleId="NoSpacing">
    <w:name w:val="No Spacing"/>
    <w:uiPriority w:val="1"/>
    <w:qFormat/>
    <w:rsid w:val="00DE25F2"/>
    <w:pPr>
      <w:spacing w:after="0" w:line="240" w:lineRule="auto"/>
    </w:pPr>
    <w:rPr>
      <w:rFonts w:ascii="Garamond" w:eastAsia="Times New Roman" w:hAnsi="Garamond" w:cs="Lucida Sans Unicode"/>
      <w:color w:val="222222"/>
      <w:sz w:val="24"/>
      <w:szCs w:val="18"/>
    </w:rPr>
  </w:style>
  <w:style w:type="character" w:styleId="CommentReference">
    <w:name w:val="annotation reference"/>
    <w:basedOn w:val="DefaultParagraphFont"/>
    <w:uiPriority w:val="99"/>
    <w:semiHidden/>
    <w:unhideWhenUsed/>
    <w:rsid w:val="0018594E"/>
    <w:rPr>
      <w:sz w:val="16"/>
      <w:szCs w:val="16"/>
    </w:rPr>
  </w:style>
  <w:style w:type="paragraph" w:styleId="CommentText">
    <w:name w:val="annotation text"/>
    <w:basedOn w:val="Normal"/>
    <w:link w:val="CommentTextChar"/>
    <w:uiPriority w:val="99"/>
    <w:semiHidden/>
    <w:unhideWhenUsed/>
    <w:rsid w:val="0018594E"/>
    <w:rPr>
      <w:sz w:val="20"/>
      <w:szCs w:val="20"/>
    </w:rPr>
  </w:style>
  <w:style w:type="character" w:customStyle="1" w:styleId="CommentTextChar">
    <w:name w:val="Comment Text Char"/>
    <w:basedOn w:val="DefaultParagraphFont"/>
    <w:link w:val="CommentText"/>
    <w:uiPriority w:val="99"/>
    <w:semiHidden/>
    <w:rsid w:val="0018594E"/>
    <w:rPr>
      <w:rFonts w:ascii="Garamond" w:eastAsia="Times New Roman" w:hAnsi="Garamond" w:cs="Lucida Sans Unicode"/>
      <w:color w:val="222222"/>
      <w:sz w:val="20"/>
      <w:szCs w:val="20"/>
    </w:rPr>
  </w:style>
  <w:style w:type="paragraph" w:styleId="CommentSubject">
    <w:name w:val="annotation subject"/>
    <w:basedOn w:val="CommentText"/>
    <w:next w:val="CommentText"/>
    <w:link w:val="CommentSubjectChar"/>
    <w:uiPriority w:val="99"/>
    <w:semiHidden/>
    <w:unhideWhenUsed/>
    <w:rsid w:val="0018594E"/>
    <w:rPr>
      <w:b/>
      <w:bCs/>
    </w:rPr>
  </w:style>
  <w:style w:type="character" w:customStyle="1" w:styleId="CommentSubjectChar">
    <w:name w:val="Comment Subject Char"/>
    <w:basedOn w:val="CommentTextChar"/>
    <w:link w:val="CommentSubject"/>
    <w:uiPriority w:val="99"/>
    <w:semiHidden/>
    <w:rsid w:val="0018594E"/>
    <w:rPr>
      <w:rFonts w:ascii="Garamond" w:eastAsia="Times New Roman" w:hAnsi="Garamond" w:cs="Lucida Sans Unicode"/>
      <w:b/>
      <w:bCs/>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8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777</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Boen,Jason M (BPA) - KSBP-4</dc:creator>
  <cp:keywords/>
  <dc:description/>
  <cp:lastModifiedBy>Dillender, Lynn</cp:lastModifiedBy>
  <cp:revision>16</cp:revision>
  <dcterms:created xsi:type="dcterms:W3CDTF">2024-07-24T23:30:00Z</dcterms:created>
  <dcterms:modified xsi:type="dcterms:W3CDTF">2024-07-30T23:48:00Z</dcterms:modified>
</cp:coreProperties>
</file>