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42FE" w14:textId="38D418BB" w:rsidR="00BA1E5E" w:rsidRPr="00BC74DB" w:rsidRDefault="00BA1E5E" w:rsidP="00BA1E5E">
      <w:pPr>
        <w:jc w:val="center"/>
        <w:rPr>
          <w:rFonts w:ascii="Times New Roman" w:hAnsi="Times New Roman" w:cs="Times New Roman"/>
        </w:rPr>
      </w:pPr>
      <w:r w:rsidRPr="00BC74DB">
        <w:rPr>
          <w:rFonts w:ascii="Times New Roman" w:hAnsi="Times New Roman" w:cs="Times New Roman"/>
          <w:b/>
        </w:rPr>
        <w:t xml:space="preserve">To:  </w:t>
      </w:r>
      <w:r w:rsidR="000156FE">
        <w:rPr>
          <w:rFonts w:ascii="Times New Roman" w:hAnsi="Times New Roman" w:cs="Times New Roman"/>
        </w:rPr>
        <w:t>Bonneville Power Administration</w:t>
      </w:r>
    </w:p>
    <w:p w14:paraId="6BBD02FB" w14:textId="035B095A" w:rsidR="00BA1E5E" w:rsidRPr="00BC74DB" w:rsidRDefault="00BA1E5E" w:rsidP="00BA1E5E">
      <w:pPr>
        <w:jc w:val="center"/>
        <w:rPr>
          <w:rFonts w:ascii="Times New Roman" w:hAnsi="Times New Roman" w:cs="Times New Roman"/>
        </w:rPr>
      </w:pPr>
      <w:r w:rsidRPr="00BC74DB">
        <w:rPr>
          <w:rFonts w:ascii="Times New Roman" w:hAnsi="Times New Roman" w:cs="Times New Roman"/>
          <w:b/>
        </w:rPr>
        <w:t>From:</w:t>
      </w:r>
      <w:r w:rsidRPr="00BC74DB">
        <w:rPr>
          <w:rFonts w:ascii="Times New Roman" w:hAnsi="Times New Roman" w:cs="Times New Roman"/>
        </w:rPr>
        <w:t xml:space="preserve"> </w:t>
      </w:r>
      <w:r w:rsidR="000156FE">
        <w:rPr>
          <w:rFonts w:ascii="Times New Roman" w:hAnsi="Times New Roman" w:cs="Times New Roman"/>
        </w:rPr>
        <w:t>Puget Sound Energy</w:t>
      </w:r>
    </w:p>
    <w:p w14:paraId="4D284900" w14:textId="77777777" w:rsidR="00BA1E5E" w:rsidRPr="00BC74DB" w:rsidRDefault="00BA1E5E" w:rsidP="00BA1E5E">
      <w:pPr>
        <w:jc w:val="center"/>
        <w:rPr>
          <w:rFonts w:ascii="Times New Roman" w:hAnsi="Times New Roman" w:cs="Times New Roman"/>
        </w:rPr>
      </w:pPr>
    </w:p>
    <w:p w14:paraId="1D855B8B" w14:textId="4B479FB6" w:rsidR="00BA1E5E" w:rsidRPr="00BC74DB" w:rsidRDefault="00076EC0" w:rsidP="00BA1E5E">
      <w:pPr>
        <w:jc w:val="center"/>
        <w:rPr>
          <w:rFonts w:ascii="Times New Roman" w:hAnsi="Times New Roman" w:cs="Times New Roman"/>
          <w:b/>
          <w:szCs w:val="24"/>
        </w:rPr>
      </w:pPr>
      <w:r>
        <w:rPr>
          <w:rFonts w:ascii="Times New Roman" w:hAnsi="Times New Roman" w:cs="Times New Roman"/>
          <w:b/>
          <w:szCs w:val="24"/>
        </w:rPr>
        <w:t xml:space="preserve">PSE Response to </w:t>
      </w:r>
      <w:r w:rsidR="00BA1E5E" w:rsidRPr="00BC74DB">
        <w:rPr>
          <w:rFonts w:ascii="Times New Roman" w:hAnsi="Times New Roman" w:cs="Times New Roman"/>
          <w:b/>
          <w:szCs w:val="24"/>
        </w:rPr>
        <w:t xml:space="preserve">BPA Request for Information #1 </w:t>
      </w:r>
    </w:p>
    <w:p w14:paraId="2015B578" w14:textId="77777777" w:rsidR="00BA1E5E" w:rsidRPr="00BC74DB" w:rsidRDefault="00BA1E5E" w:rsidP="00BA1E5E">
      <w:pPr>
        <w:jc w:val="center"/>
        <w:rPr>
          <w:rFonts w:ascii="Times New Roman" w:hAnsi="Times New Roman" w:cs="Times New Roman"/>
          <w:b/>
          <w:szCs w:val="24"/>
        </w:rPr>
      </w:pPr>
    </w:p>
    <w:p w14:paraId="7BDF8B7D" w14:textId="0B447AC5" w:rsidR="00BA1E5E" w:rsidRPr="00BC74DB" w:rsidRDefault="00EC4543" w:rsidP="00BA1E5E">
      <w:pPr>
        <w:jc w:val="center"/>
        <w:rPr>
          <w:rFonts w:ascii="Times New Roman" w:hAnsi="Times New Roman" w:cs="Times New Roman"/>
          <w:b/>
        </w:rPr>
      </w:pPr>
      <w:r>
        <w:rPr>
          <w:rFonts w:ascii="Times New Roman" w:hAnsi="Times New Roman" w:cs="Times New Roman"/>
          <w:b/>
          <w:szCs w:val="24"/>
        </w:rPr>
        <w:t xml:space="preserve"> </w:t>
      </w:r>
      <w:r w:rsidR="00BA1E5E" w:rsidRPr="00BC74DB">
        <w:rPr>
          <w:rFonts w:ascii="Times New Roman" w:hAnsi="Times New Roman" w:cs="Times New Roman"/>
          <w:b/>
        </w:rPr>
        <w:t>2</w:t>
      </w:r>
      <w:r w:rsidR="00BA1E5E">
        <w:rPr>
          <w:rFonts w:ascii="Times New Roman" w:hAnsi="Times New Roman" w:cs="Times New Roman"/>
          <w:b/>
        </w:rPr>
        <w:t>02</w:t>
      </w:r>
      <w:r w:rsidR="00325AC9">
        <w:rPr>
          <w:rFonts w:ascii="Times New Roman" w:hAnsi="Times New Roman" w:cs="Times New Roman"/>
          <w:b/>
        </w:rPr>
        <w:t>2</w:t>
      </w:r>
      <w:r w:rsidR="00BA1E5E" w:rsidRPr="00BC74DB">
        <w:rPr>
          <w:rFonts w:ascii="Times New Roman" w:hAnsi="Times New Roman" w:cs="Times New Roman"/>
          <w:b/>
        </w:rPr>
        <w:t xml:space="preserve"> A</w:t>
      </w:r>
      <w:r w:rsidR="00076EC0">
        <w:rPr>
          <w:rFonts w:ascii="Times New Roman" w:hAnsi="Times New Roman" w:cs="Times New Roman"/>
          <w:b/>
        </w:rPr>
        <w:t>nnual</w:t>
      </w:r>
      <w:r w:rsidR="00BA1E5E" w:rsidRPr="00BC74DB">
        <w:rPr>
          <w:rFonts w:ascii="Times New Roman" w:hAnsi="Times New Roman" w:cs="Times New Roman"/>
          <w:b/>
        </w:rPr>
        <w:t xml:space="preserve"> </w:t>
      </w:r>
      <w:r w:rsidR="00076EC0">
        <w:rPr>
          <w:rFonts w:ascii="Times New Roman" w:hAnsi="Times New Roman" w:cs="Times New Roman"/>
          <w:b/>
        </w:rPr>
        <w:t>Update</w:t>
      </w:r>
      <w:r w:rsidR="00BA1E5E" w:rsidRPr="00BC74DB">
        <w:rPr>
          <w:rFonts w:ascii="Times New Roman" w:hAnsi="Times New Roman" w:cs="Times New Roman"/>
          <w:b/>
        </w:rPr>
        <w:t xml:space="preserve"> </w:t>
      </w:r>
      <w:r w:rsidR="00076EC0">
        <w:rPr>
          <w:rFonts w:ascii="Times New Roman" w:hAnsi="Times New Roman" w:cs="Times New Roman"/>
          <w:b/>
        </w:rPr>
        <w:t>to</w:t>
      </w:r>
      <w:r w:rsidR="00BA1E5E" w:rsidRPr="00BC74DB">
        <w:rPr>
          <w:rFonts w:ascii="Times New Roman" w:hAnsi="Times New Roman" w:cs="Times New Roman"/>
          <w:b/>
        </w:rPr>
        <w:t xml:space="preserve"> P</w:t>
      </w:r>
      <w:r w:rsidR="00DA0C17">
        <w:rPr>
          <w:rFonts w:ascii="Times New Roman" w:hAnsi="Times New Roman" w:cs="Times New Roman"/>
          <w:b/>
        </w:rPr>
        <w:t>uget</w:t>
      </w:r>
      <w:r w:rsidR="00BA1E5E" w:rsidRPr="00BC74DB">
        <w:rPr>
          <w:rFonts w:ascii="Times New Roman" w:hAnsi="Times New Roman" w:cs="Times New Roman"/>
          <w:b/>
        </w:rPr>
        <w:t xml:space="preserve"> </w:t>
      </w:r>
      <w:r w:rsidR="00DA0C17">
        <w:rPr>
          <w:rFonts w:ascii="Times New Roman" w:hAnsi="Times New Roman" w:cs="Times New Roman"/>
          <w:b/>
        </w:rPr>
        <w:t>Sound</w:t>
      </w:r>
      <w:r w:rsidR="00BA1E5E" w:rsidRPr="00BC74DB">
        <w:rPr>
          <w:rFonts w:ascii="Times New Roman" w:hAnsi="Times New Roman" w:cs="Times New Roman"/>
          <w:b/>
        </w:rPr>
        <w:t xml:space="preserve"> E</w:t>
      </w:r>
      <w:r w:rsidR="00DA0C17">
        <w:rPr>
          <w:rFonts w:ascii="Times New Roman" w:hAnsi="Times New Roman" w:cs="Times New Roman"/>
          <w:b/>
        </w:rPr>
        <w:t>nergy’s</w:t>
      </w:r>
      <w:bookmarkStart w:id="0" w:name="_GoBack"/>
      <w:bookmarkEnd w:id="0"/>
      <w:r w:rsidR="00BA1E5E" w:rsidRPr="00BC74DB">
        <w:rPr>
          <w:rFonts w:ascii="Times New Roman" w:hAnsi="Times New Roman" w:cs="Times New Roman"/>
          <w:b/>
        </w:rPr>
        <w:t xml:space="preserve"> </w:t>
      </w:r>
    </w:p>
    <w:p w14:paraId="49F744E1" w14:textId="19D6ADFB" w:rsidR="00BA1E5E" w:rsidRPr="00BC74DB" w:rsidRDefault="00BA1E5E" w:rsidP="00BA1E5E">
      <w:pPr>
        <w:jc w:val="center"/>
        <w:rPr>
          <w:rFonts w:ascii="Times New Roman" w:hAnsi="Times New Roman" w:cs="Times New Roman"/>
          <w:b/>
        </w:rPr>
      </w:pPr>
      <w:r w:rsidRPr="00BC74DB">
        <w:rPr>
          <w:rFonts w:ascii="Times New Roman" w:hAnsi="Times New Roman" w:cs="Times New Roman"/>
          <w:b/>
        </w:rPr>
        <w:t>T</w:t>
      </w:r>
      <w:r w:rsidR="00076EC0">
        <w:rPr>
          <w:rFonts w:ascii="Times New Roman" w:hAnsi="Times New Roman" w:cs="Times New Roman"/>
          <w:b/>
        </w:rPr>
        <w:t>ransmission</w:t>
      </w:r>
      <w:r w:rsidRPr="00BC74DB">
        <w:rPr>
          <w:rFonts w:ascii="Times New Roman" w:hAnsi="Times New Roman" w:cs="Times New Roman"/>
          <w:b/>
        </w:rPr>
        <w:t xml:space="preserve"> R</w:t>
      </w:r>
      <w:r w:rsidR="00076EC0">
        <w:rPr>
          <w:rFonts w:ascii="Times New Roman" w:hAnsi="Times New Roman" w:cs="Times New Roman"/>
          <w:b/>
        </w:rPr>
        <w:t>ate</w:t>
      </w:r>
    </w:p>
    <w:p w14:paraId="2E1A38FE" w14:textId="77777777" w:rsidR="00BA1E5E" w:rsidRPr="00BC74DB" w:rsidRDefault="00BA1E5E" w:rsidP="00BA1E5E">
      <w:pPr>
        <w:jc w:val="center"/>
        <w:rPr>
          <w:rFonts w:ascii="Times New Roman" w:hAnsi="Times New Roman" w:cs="Times New Roman"/>
          <w:szCs w:val="24"/>
        </w:rPr>
      </w:pPr>
    </w:p>
    <w:p w14:paraId="3F09262A" w14:textId="4DA564D2" w:rsidR="00BA1E5E" w:rsidRPr="00BC74DB" w:rsidRDefault="00076EC0" w:rsidP="00BA1E5E">
      <w:pPr>
        <w:rPr>
          <w:rFonts w:ascii="Times New Roman" w:hAnsi="Times New Roman" w:cs="Times New Roman"/>
          <w:szCs w:val="24"/>
        </w:rPr>
      </w:pPr>
      <w:r>
        <w:rPr>
          <w:rFonts w:ascii="Times New Roman" w:hAnsi="Times New Roman" w:cs="Times New Roman"/>
          <w:szCs w:val="24"/>
        </w:rPr>
        <w:t>PSE response to BPA’s request for information #1 to</w:t>
      </w:r>
      <w:r w:rsidR="00BA1E5E" w:rsidRPr="00BC74DB">
        <w:rPr>
          <w:rFonts w:ascii="Times New Roman" w:hAnsi="Times New Roman" w:cs="Times New Roman"/>
          <w:szCs w:val="24"/>
        </w:rPr>
        <w:t xml:space="preserve"> Puget Sound Energy’s 20</w:t>
      </w:r>
      <w:r w:rsidR="00BA1E5E">
        <w:rPr>
          <w:rFonts w:ascii="Times New Roman" w:hAnsi="Times New Roman" w:cs="Times New Roman"/>
          <w:szCs w:val="24"/>
        </w:rPr>
        <w:t>2</w:t>
      </w:r>
      <w:r w:rsidR="0032646C">
        <w:rPr>
          <w:rFonts w:ascii="Times New Roman" w:hAnsi="Times New Roman" w:cs="Times New Roman"/>
          <w:szCs w:val="24"/>
        </w:rPr>
        <w:t>3</w:t>
      </w:r>
      <w:r w:rsidR="00BA1E5E" w:rsidRPr="00BC74DB">
        <w:rPr>
          <w:rFonts w:ascii="Times New Roman" w:hAnsi="Times New Roman" w:cs="Times New Roman"/>
          <w:szCs w:val="24"/>
        </w:rPr>
        <w:t xml:space="preserve"> Annual Update to its Transmission Formula Rate.  </w:t>
      </w:r>
      <w:r w:rsidR="00C0029E">
        <w:rPr>
          <w:rFonts w:ascii="Times New Roman" w:hAnsi="Times New Roman" w:cs="Times New Roman"/>
          <w:szCs w:val="24"/>
        </w:rPr>
        <w:t xml:space="preserve">PSE responses in </w:t>
      </w:r>
      <w:r w:rsidR="00C0029E" w:rsidRPr="00C0029E">
        <w:rPr>
          <w:rFonts w:ascii="Times New Roman" w:hAnsi="Times New Roman" w:cs="Times New Roman"/>
          <w:color w:val="70AD47" w:themeColor="accent6"/>
          <w:szCs w:val="24"/>
        </w:rPr>
        <w:t xml:space="preserve">green </w:t>
      </w:r>
      <w:r w:rsidR="00C0029E" w:rsidRPr="005434F7">
        <w:rPr>
          <w:rFonts w:ascii="Times New Roman" w:hAnsi="Times New Roman" w:cs="Times New Roman"/>
          <w:color w:val="70AD47" w:themeColor="accent6"/>
          <w:szCs w:val="24"/>
        </w:rPr>
        <w:t>text</w:t>
      </w:r>
      <w:r w:rsidR="00C0029E">
        <w:rPr>
          <w:rFonts w:ascii="Times New Roman" w:hAnsi="Times New Roman" w:cs="Times New Roman"/>
          <w:szCs w:val="24"/>
        </w:rPr>
        <w:t xml:space="preserve"> below.</w:t>
      </w:r>
    </w:p>
    <w:p w14:paraId="5D09F472" w14:textId="77777777" w:rsidR="000320F9" w:rsidRDefault="000320F9"/>
    <w:p w14:paraId="61F3956D" w14:textId="77777777" w:rsidR="00BA1E5E" w:rsidRDefault="00BA1E5E"/>
    <w:p w14:paraId="58B85289" w14:textId="77777777" w:rsidR="00BA1E5E" w:rsidRPr="00EE1CDE" w:rsidRDefault="00BA1E5E" w:rsidP="00BA1E5E">
      <w:pPr>
        <w:numPr>
          <w:ilvl w:val="1"/>
          <w:numId w:val="1"/>
        </w:numPr>
        <w:ind w:left="1440" w:right="720" w:hanging="1440"/>
        <w:rPr>
          <w:rFonts w:eastAsia="Calibri" w:cs="Times New Roman"/>
          <w:color w:val="auto"/>
          <w:sz w:val="22"/>
          <w:szCs w:val="22"/>
        </w:rPr>
      </w:pPr>
      <w:r w:rsidRPr="00EE1CDE">
        <w:rPr>
          <w:rFonts w:eastAsia="Calibri" w:cs="Times New Roman"/>
          <w:color w:val="auto"/>
          <w:sz w:val="22"/>
          <w:szCs w:val="22"/>
        </w:rPr>
        <w:t xml:space="preserve">Refer to </w:t>
      </w:r>
      <w:r w:rsidR="00EE1CDE" w:rsidRPr="00EE1CDE">
        <w:rPr>
          <w:sz w:val="22"/>
          <w:szCs w:val="22"/>
        </w:rPr>
        <w:t>2023_Formula_Rate_Year_Comparison</w:t>
      </w:r>
      <w:r w:rsidRPr="00EE1CDE">
        <w:rPr>
          <w:rFonts w:eastAsia="Calibri" w:cs="Times New Roman"/>
          <w:color w:val="auto"/>
          <w:sz w:val="22"/>
          <w:szCs w:val="22"/>
        </w:rPr>
        <w:t>, Line 1</w:t>
      </w:r>
      <w:r w:rsidR="00FB437A" w:rsidRPr="00EE1CDE">
        <w:rPr>
          <w:rFonts w:eastAsia="Calibri" w:cs="Times New Roman"/>
          <w:color w:val="auto"/>
          <w:sz w:val="22"/>
          <w:szCs w:val="22"/>
        </w:rPr>
        <w:t>6</w:t>
      </w:r>
      <w:r w:rsidRPr="00EE1CDE">
        <w:rPr>
          <w:rFonts w:eastAsia="Calibri" w:cs="Times New Roman"/>
          <w:color w:val="auto"/>
          <w:sz w:val="22"/>
          <w:szCs w:val="22"/>
        </w:rPr>
        <w:t xml:space="preserve">, </w:t>
      </w:r>
      <w:r w:rsidR="00D84383" w:rsidRPr="00EE1CDE">
        <w:rPr>
          <w:rFonts w:eastAsia="Calibri" w:cs="Times New Roman"/>
          <w:color w:val="auto"/>
          <w:sz w:val="22"/>
          <w:szCs w:val="22"/>
        </w:rPr>
        <w:t>New Transmission Plant Additions for Current Calendar Year</w:t>
      </w:r>
      <w:r w:rsidR="00E67024" w:rsidRPr="00EE1CDE">
        <w:rPr>
          <w:rFonts w:eastAsia="Calibri" w:cs="Times New Roman"/>
          <w:color w:val="auto"/>
          <w:sz w:val="22"/>
          <w:szCs w:val="22"/>
        </w:rPr>
        <w:t> (</w:t>
      </w:r>
      <w:r w:rsidR="00D84383" w:rsidRPr="00EE1CDE">
        <w:rPr>
          <w:rFonts w:eastAsia="Calibri" w:cs="Times New Roman"/>
          <w:color w:val="auto"/>
          <w:sz w:val="22"/>
          <w:szCs w:val="22"/>
        </w:rPr>
        <w:t>weighted by months in service)</w:t>
      </w:r>
      <w:r w:rsidR="0072252C">
        <w:rPr>
          <w:rFonts w:eastAsia="Calibri" w:cs="Times New Roman"/>
          <w:color w:val="auto"/>
          <w:sz w:val="22"/>
          <w:szCs w:val="22"/>
        </w:rPr>
        <w:t>.</w:t>
      </w:r>
      <w:r w:rsidR="00D84383" w:rsidRPr="00EE1CDE">
        <w:rPr>
          <w:rFonts w:eastAsia="Calibri" w:cs="Times New Roman"/>
          <w:color w:val="auto"/>
          <w:sz w:val="22"/>
          <w:szCs w:val="22"/>
        </w:rPr>
        <w:t xml:space="preserve"> </w:t>
      </w:r>
      <w:r w:rsidR="0072252C">
        <w:rPr>
          <w:rFonts w:eastAsia="Calibri" w:cs="Times New Roman"/>
          <w:color w:val="auto"/>
          <w:sz w:val="22"/>
          <w:szCs w:val="22"/>
        </w:rPr>
        <w:t xml:space="preserve"> P</w:t>
      </w:r>
      <w:r w:rsidRPr="00EE1CDE">
        <w:rPr>
          <w:rFonts w:eastAsia="Calibri" w:cs="Times New Roman"/>
          <w:color w:val="auto"/>
          <w:sz w:val="22"/>
          <w:szCs w:val="22"/>
        </w:rPr>
        <w:t xml:space="preserve">lease provide a detailed explanation for the </w:t>
      </w:r>
      <w:r w:rsidR="00D84383" w:rsidRPr="00EE1CDE">
        <w:rPr>
          <w:rFonts w:eastAsia="Calibri" w:cs="Times New Roman"/>
          <w:color w:val="auto"/>
          <w:sz w:val="22"/>
          <w:szCs w:val="22"/>
        </w:rPr>
        <w:t xml:space="preserve">123.71%, </w:t>
      </w:r>
      <w:r w:rsidRPr="00EE1CDE">
        <w:rPr>
          <w:rFonts w:eastAsia="Calibri" w:cs="Times New Roman"/>
          <w:color w:val="auto"/>
          <w:sz w:val="22"/>
          <w:szCs w:val="22"/>
        </w:rPr>
        <w:t>increase, including a summary of the main drivers.</w:t>
      </w:r>
    </w:p>
    <w:p w14:paraId="324326BD" w14:textId="77777777" w:rsidR="00EE1CDE" w:rsidRPr="005E1D93" w:rsidRDefault="005E1D93" w:rsidP="00EE1CDE">
      <w:pPr>
        <w:ind w:left="1440" w:right="720"/>
        <w:rPr>
          <w:rFonts w:eastAsia="Calibri" w:cs="Times New Roman"/>
          <w:color w:val="70AD47" w:themeColor="accent6"/>
          <w:sz w:val="22"/>
          <w:szCs w:val="22"/>
        </w:rPr>
      </w:pPr>
      <w:r w:rsidRPr="00CC338D">
        <w:rPr>
          <w:rFonts w:eastAsia="Calibri" w:cs="Times New Roman"/>
          <w:b/>
          <w:color w:val="70AD47" w:themeColor="accent6"/>
          <w:sz w:val="22"/>
          <w:szCs w:val="22"/>
          <w:u w:val="single"/>
        </w:rPr>
        <w:t>PSE Response to BPA 1.1:</w:t>
      </w:r>
      <w:r w:rsidR="00CC338D">
        <w:rPr>
          <w:rFonts w:eastAsia="Calibri" w:cs="Times New Roman"/>
          <w:color w:val="70AD47" w:themeColor="accent6"/>
          <w:sz w:val="22"/>
          <w:szCs w:val="22"/>
        </w:rPr>
        <w:t xml:space="preserve"> Referring to formula line 16, New Transmission Plant Additions for the Current Year increased 123.71%, or $20.4 million, primarily due to three large capital projects projected to go into service in 2023.  As was discussed in the PSE 2022 Attachment K meeting, $28 million from the Energize Eastside project’s 230 kV substation at Richards Creek, $23.9 million for the Sammamish-Juanita 115 kV line, and $10 million of the Thurston Transmission Capacity project are all forecasted to go online in 2023.  These projects are the primary drivers increasing New Transmission Plant Additions for the Current Year over new plant additions in the prior year.</w:t>
      </w:r>
    </w:p>
    <w:p w14:paraId="5531F9C0" w14:textId="77777777" w:rsidR="005E1D93" w:rsidRDefault="005E1D93" w:rsidP="00EE1CDE">
      <w:pPr>
        <w:ind w:left="1440" w:right="720"/>
        <w:rPr>
          <w:rFonts w:eastAsia="Calibri" w:cs="Times New Roman"/>
          <w:color w:val="auto"/>
          <w:sz w:val="22"/>
          <w:szCs w:val="22"/>
        </w:rPr>
      </w:pPr>
    </w:p>
    <w:p w14:paraId="79471376" w14:textId="77777777" w:rsidR="00EE1CDE" w:rsidRPr="007E7547" w:rsidRDefault="00EE1CDE" w:rsidP="007E7547">
      <w:pPr>
        <w:pStyle w:val="ListParagraph"/>
        <w:numPr>
          <w:ilvl w:val="1"/>
          <w:numId w:val="1"/>
        </w:numPr>
        <w:spacing w:after="0" w:line="240" w:lineRule="auto"/>
        <w:ind w:left="1440" w:right="720" w:hanging="1440"/>
        <w:contextualSpacing w:val="0"/>
        <w:rPr>
          <w:rFonts w:ascii="Garamond" w:hAnsi="Garamond"/>
        </w:rPr>
      </w:pPr>
      <w:r w:rsidRPr="00EE1CDE">
        <w:rPr>
          <w:rFonts w:ascii="Garamond" w:hAnsi="Garamond"/>
        </w:rPr>
        <w:t xml:space="preserve">Refer to Worksheet 5 in 2023_Formula_Rate_PATRR.  Please explain whether Puget reviewed this list under FERC’s seven-factor test and </w:t>
      </w:r>
      <w:r w:rsidRPr="00EE1CDE">
        <w:rPr>
          <w:rFonts w:ascii="Garamond" w:hAnsi="Garamond"/>
          <w:i/>
        </w:rPr>
        <w:t xml:space="preserve">Mansfield </w:t>
      </w:r>
      <w:r w:rsidRPr="00EE1CDE">
        <w:rPr>
          <w:rFonts w:ascii="Garamond" w:hAnsi="Garamond"/>
        </w:rPr>
        <w:t>test.</w:t>
      </w:r>
    </w:p>
    <w:p w14:paraId="36C29878" w14:textId="77777777" w:rsidR="00BA1E5E" w:rsidRPr="005E1D93" w:rsidRDefault="005E1D93" w:rsidP="00BA1E5E">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1.2:</w:t>
      </w:r>
      <w:r w:rsidR="00C86D11">
        <w:rPr>
          <w:rFonts w:eastAsia="Calibri" w:cs="Times New Roman"/>
          <w:color w:val="70AD47" w:themeColor="accent6"/>
          <w:sz w:val="22"/>
          <w:szCs w:val="22"/>
        </w:rPr>
        <w:t xml:space="preserve">  In the initial PSE OATT formula rate case</w:t>
      </w:r>
      <w:r w:rsidR="0079082F">
        <w:rPr>
          <w:rFonts w:eastAsia="Calibri" w:cs="Times New Roman"/>
          <w:color w:val="70AD47" w:themeColor="accent6"/>
          <w:sz w:val="22"/>
          <w:szCs w:val="22"/>
        </w:rPr>
        <w:t xml:space="preserve"> (January 6, 2012, ER12-778-000)</w:t>
      </w:r>
      <w:r w:rsidR="002C5D6E">
        <w:rPr>
          <w:rFonts w:eastAsia="Calibri" w:cs="Times New Roman"/>
          <w:color w:val="70AD47" w:themeColor="accent6"/>
          <w:sz w:val="22"/>
          <w:szCs w:val="22"/>
        </w:rPr>
        <w:t xml:space="preserve"> P</w:t>
      </w:r>
      <w:r w:rsidR="00C86D11">
        <w:rPr>
          <w:rFonts w:eastAsia="Calibri" w:cs="Times New Roman"/>
          <w:color w:val="70AD47" w:themeColor="accent6"/>
          <w:sz w:val="22"/>
          <w:szCs w:val="22"/>
        </w:rPr>
        <w:t>SE Attachment A is the petition to the Washington Utilities and Transportation Commission (WUTC)</w:t>
      </w:r>
      <w:r w:rsidR="002C5D6E">
        <w:rPr>
          <w:rFonts w:eastAsia="Calibri" w:cs="Times New Roman"/>
          <w:color w:val="70AD47" w:themeColor="accent6"/>
          <w:sz w:val="22"/>
          <w:szCs w:val="22"/>
        </w:rPr>
        <w:t xml:space="preserve"> </w:t>
      </w:r>
      <w:r w:rsidR="00045C62">
        <w:rPr>
          <w:rFonts w:eastAsia="Calibri" w:cs="Times New Roman"/>
          <w:color w:val="70AD47" w:themeColor="accent6"/>
          <w:sz w:val="22"/>
          <w:szCs w:val="22"/>
        </w:rPr>
        <w:t>and FERC</w:t>
      </w:r>
      <w:r w:rsidR="00C86D11">
        <w:rPr>
          <w:rFonts w:eastAsia="Calibri" w:cs="Times New Roman"/>
          <w:color w:val="70AD47" w:themeColor="accent6"/>
          <w:sz w:val="22"/>
          <w:szCs w:val="22"/>
        </w:rPr>
        <w:t xml:space="preserve"> to reclassify the 115 kV plant as transmission plant to follow the NERC definition of transmission plant.  PSE used the FERC seven-factor test as the basis of classifying transmission plant as plant above the 100 kV rating.</w:t>
      </w:r>
      <w:r w:rsidR="00F15823">
        <w:rPr>
          <w:rFonts w:eastAsia="Calibri" w:cs="Times New Roman"/>
          <w:color w:val="70AD47" w:themeColor="accent6"/>
          <w:sz w:val="22"/>
          <w:szCs w:val="22"/>
        </w:rPr>
        <w:t xml:space="preserve">  The S</w:t>
      </w:r>
      <w:r w:rsidR="00C86D11">
        <w:rPr>
          <w:rFonts w:eastAsia="Calibri" w:cs="Times New Roman"/>
          <w:color w:val="70AD47" w:themeColor="accent6"/>
          <w:sz w:val="22"/>
          <w:szCs w:val="22"/>
        </w:rPr>
        <w:t xml:space="preserve">ettlement to </w:t>
      </w:r>
      <w:r w:rsidR="00045C62">
        <w:rPr>
          <w:rFonts w:eastAsia="Calibri" w:cs="Times New Roman"/>
          <w:color w:val="70AD47" w:themeColor="accent6"/>
          <w:sz w:val="22"/>
          <w:szCs w:val="22"/>
        </w:rPr>
        <w:t xml:space="preserve">the </w:t>
      </w:r>
      <w:r w:rsidR="00C86D11">
        <w:rPr>
          <w:rFonts w:eastAsia="Calibri" w:cs="Times New Roman"/>
          <w:color w:val="70AD47" w:themeColor="accent6"/>
          <w:sz w:val="22"/>
          <w:szCs w:val="22"/>
        </w:rPr>
        <w:t>initial filing</w:t>
      </w:r>
      <w:r w:rsidR="0079082F">
        <w:rPr>
          <w:rFonts w:eastAsia="Calibri" w:cs="Times New Roman"/>
          <w:color w:val="70AD47" w:themeColor="accent6"/>
          <w:sz w:val="22"/>
          <w:szCs w:val="22"/>
        </w:rPr>
        <w:t xml:space="preserve"> (approved by FERC May 6, 2013, ER12-778-000)</w:t>
      </w:r>
      <w:r w:rsidR="00C86D11">
        <w:rPr>
          <w:rFonts w:eastAsia="Calibri" w:cs="Times New Roman"/>
          <w:color w:val="70AD47" w:themeColor="accent6"/>
          <w:sz w:val="22"/>
          <w:szCs w:val="22"/>
        </w:rPr>
        <w:t xml:space="preserve"> included</w:t>
      </w:r>
      <w:r w:rsidR="009E2D7E">
        <w:rPr>
          <w:rFonts w:eastAsia="Calibri" w:cs="Times New Roman"/>
          <w:color w:val="70AD47" w:themeColor="accent6"/>
          <w:sz w:val="22"/>
          <w:szCs w:val="22"/>
        </w:rPr>
        <w:t xml:space="preserve"> approval for</w:t>
      </w:r>
      <w:r w:rsidR="00C86D11">
        <w:rPr>
          <w:rFonts w:eastAsia="Calibri" w:cs="Times New Roman"/>
          <w:color w:val="70AD47" w:themeColor="accent6"/>
          <w:sz w:val="22"/>
          <w:szCs w:val="22"/>
        </w:rPr>
        <w:t xml:space="preserve"> the results of the FERC seven – factor test and classification requirement of plant above 100 kV as transmission plant, both for accounting and reporting as well as rate recovery under the FERC jurisdiction.</w:t>
      </w:r>
      <w:r w:rsidR="0079082F">
        <w:rPr>
          <w:rFonts w:eastAsia="Calibri" w:cs="Times New Roman"/>
          <w:color w:val="70AD47" w:themeColor="accent6"/>
          <w:sz w:val="22"/>
          <w:szCs w:val="22"/>
        </w:rPr>
        <w:t xml:space="preserve">  PSE has continued to classify plant over 100 kV as transmission plant</w:t>
      </w:r>
      <w:r w:rsidR="00694F17">
        <w:rPr>
          <w:rFonts w:eastAsia="Calibri" w:cs="Times New Roman"/>
          <w:color w:val="70AD47" w:themeColor="accent6"/>
          <w:sz w:val="22"/>
          <w:szCs w:val="22"/>
        </w:rPr>
        <w:t xml:space="preserve"> as per the </w:t>
      </w:r>
      <w:r w:rsidR="00F15823">
        <w:rPr>
          <w:rFonts w:eastAsia="Calibri" w:cs="Times New Roman"/>
          <w:color w:val="70AD47" w:themeColor="accent6"/>
          <w:sz w:val="22"/>
          <w:szCs w:val="22"/>
        </w:rPr>
        <w:t>S</w:t>
      </w:r>
      <w:r w:rsidR="00694F17">
        <w:rPr>
          <w:rFonts w:eastAsia="Calibri" w:cs="Times New Roman"/>
          <w:color w:val="70AD47" w:themeColor="accent6"/>
          <w:sz w:val="22"/>
          <w:szCs w:val="22"/>
        </w:rPr>
        <w:t>ettlement.</w:t>
      </w:r>
    </w:p>
    <w:p w14:paraId="625FFE25" w14:textId="77777777" w:rsidR="005E1D93" w:rsidRPr="00BA1E5E" w:rsidRDefault="005E1D93" w:rsidP="00BA1E5E">
      <w:pPr>
        <w:ind w:left="1440" w:right="720"/>
        <w:rPr>
          <w:rFonts w:eastAsia="Calibri" w:cs="Times New Roman"/>
          <w:color w:val="auto"/>
          <w:sz w:val="22"/>
          <w:szCs w:val="22"/>
        </w:rPr>
      </w:pPr>
    </w:p>
    <w:p w14:paraId="17A5C762" w14:textId="77777777" w:rsidR="00EE1CDE" w:rsidRPr="00EE1CDE" w:rsidRDefault="00EE1CDE" w:rsidP="00EE1CDE">
      <w:pPr>
        <w:numPr>
          <w:ilvl w:val="1"/>
          <w:numId w:val="1"/>
        </w:numPr>
        <w:ind w:left="1440" w:right="720" w:hanging="1440"/>
        <w:rPr>
          <w:rFonts w:eastAsia="Calibri" w:cs="Times New Roman"/>
          <w:sz w:val="22"/>
          <w:szCs w:val="22"/>
        </w:rPr>
      </w:pPr>
      <w:r w:rsidRPr="00EE1CDE">
        <w:rPr>
          <w:rFonts w:eastAsia="Calibri" w:cs="Times New Roman"/>
          <w:color w:val="auto"/>
          <w:sz w:val="22"/>
          <w:szCs w:val="22"/>
        </w:rPr>
        <w:t xml:space="preserve">Refer to </w:t>
      </w:r>
      <w:r w:rsidRPr="00EE1CDE">
        <w:rPr>
          <w:sz w:val="22"/>
          <w:szCs w:val="22"/>
        </w:rPr>
        <w:t>2023_Formula_Rate_Year_Comparison</w:t>
      </w:r>
      <w:r w:rsidRPr="00EE1CDE">
        <w:rPr>
          <w:rFonts w:eastAsia="Calibri" w:cs="Times New Roman"/>
          <w:color w:val="auto"/>
          <w:sz w:val="22"/>
          <w:szCs w:val="22"/>
        </w:rPr>
        <w:t xml:space="preserve">, Line 43, </w:t>
      </w:r>
      <w:r w:rsidRPr="00EE1CDE">
        <w:rPr>
          <w:rFonts w:eastAsia="Calibri" w:cs="Times New Roman"/>
          <w:sz w:val="22"/>
          <w:szCs w:val="22"/>
        </w:rPr>
        <w:t>Total Prepayments Allocated to Transmission</w:t>
      </w:r>
      <w:r w:rsidR="0072252C">
        <w:rPr>
          <w:rFonts w:eastAsia="Calibri" w:cs="Times New Roman"/>
          <w:color w:val="auto"/>
          <w:sz w:val="22"/>
          <w:szCs w:val="22"/>
        </w:rPr>
        <w:t>.  P</w:t>
      </w:r>
      <w:r w:rsidRPr="00EE1CDE">
        <w:rPr>
          <w:rFonts w:eastAsia="Calibri" w:cs="Times New Roman"/>
          <w:color w:val="auto"/>
          <w:sz w:val="22"/>
          <w:szCs w:val="22"/>
        </w:rPr>
        <w:t>lease provide a detailed explanation for the 43.28% increase, including a summary of the main drivers.</w:t>
      </w:r>
      <w:r w:rsidRPr="00EE1CDE">
        <w:rPr>
          <w:sz w:val="22"/>
          <w:szCs w:val="22"/>
        </w:rPr>
        <w:t xml:space="preserve">    </w:t>
      </w:r>
    </w:p>
    <w:p w14:paraId="4DDEAA55" w14:textId="77777777" w:rsidR="00EE1CDE" w:rsidRPr="005E1D93" w:rsidRDefault="005E1D93" w:rsidP="00EE1CDE">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1.3</w:t>
      </w:r>
      <w:r w:rsidR="008B7BCE" w:rsidRPr="00C91CDE">
        <w:rPr>
          <w:rFonts w:eastAsia="Calibri" w:cs="Times New Roman"/>
          <w:b/>
          <w:color w:val="70AD47" w:themeColor="accent6"/>
          <w:sz w:val="22"/>
          <w:szCs w:val="22"/>
          <w:u w:val="single"/>
        </w:rPr>
        <w:t>:</w:t>
      </w:r>
      <w:r w:rsidR="00B47734">
        <w:rPr>
          <w:rFonts w:eastAsia="Calibri" w:cs="Times New Roman"/>
          <w:color w:val="70AD47" w:themeColor="accent6"/>
          <w:sz w:val="22"/>
          <w:szCs w:val="22"/>
        </w:rPr>
        <w:t xml:space="preserve"> Referring to line 43, Total Prepayments Allocated to transmission</w:t>
      </w:r>
      <w:r w:rsidR="00AD03C9">
        <w:rPr>
          <w:rFonts w:eastAsia="Calibri" w:cs="Times New Roman"/>
          <w:color w:val="70AD47" w:themeColor="accent6"/>
          <w:sz w:val="22"/>
          <w:szCs w:val="22"/>
        </w:rPr>
        <w:t xml:space="preserve"> increased 43.28%, or $1.8 million, primarily due to </w:t>
      </w:r>
      <w:r w:rsidR="00191BC3">
        <w:rPr>
          <w:rFonts w:eastAsia="Calibri" w:cs="Times New Roman"/>
          <w:color w:val="70AD47" w:themeColor="accent6"/>
          <w:sz w:val="22"/>
          <w:szCs w:val="22"/>
        </w:rPr>
        <w:t xml:space="preserve">renewed or new </w:t>
      </w:r>
      <w:r w:rsidR="00AD03C9">
        <w:rPr>
          <w:rFonts w:eastAsia="Calibri" w:cs="Times New Roman"/>
          <w:color w:val="70AD47" w:themeColor="accent6"/>
          <w:sz w:val="22"/>
          <w:szCs w:val="22"/>
        </w:rPr>
        <w:t>prepaid application software</w:t>
      </w:r>
      <w:r w:rsidR="00191BC3">
        <w:rPr>
          <w:rFonts w:eastAsia="Calibri" w:cs="Times New Roman"/>
          <w:color w:val="70AD47" w:themeColor="accent6"/>
          <w:sz w:val="22"/>
          <w:szCs w:val="22"/>
        </w:rPr>
        <w:t xml:space="preserve"> contracts (primarily Oracle, SAP, and </w:t>
      </w:r>
      <w:proofErr w:type="spellStart"/>
      <w:r w:rsidR="00191BC3">
        <w:rPr>
          <w:rFonts w:eastAsia="Calibri" w:cs="Times New Roman"/>
          <w:color w:val="70AD47" w:themeColor="accent6"/>
          <w:sz w:val="22"/>
          <w:szCs w:val="22"/>
        </w:rPr>
        <w:t>Zetron</w:t>
      </w:r>
      <w:proofErr w:type="spellEnd"/>
      <w:r w:rsidR="00191BC3">
        <w:rPr>
          <w:rFonts w:eastAsia="Calibri" w:cs="Times New Roman"/>
          <w:color w:val="70AD47" w:themeColor="accent6"/>
          <w:sz w:val="22"/>
          <w:szCs w:val="22"/>
        </w:rPr>
        <w:t xml:space="preserve"> system contracts).</w:t>
      </w:r>
    </w:p>
    <w:p w14:paraId="72394D67" w14:textId="77777777" w:rsidR="005E1D93" w:rsidRPr="00EE1CDE" w:rsidRDefault="005E1D93" w:rsidP="00EE1CDE">
      <w:pPr>
        <w:ind w:left="1440" w:right="720"/>
        <w:rPr>
          <w:rFonts w:eastAsia="Calibri" w:cs="Times New Roman"/>
        </w:rPr>
      </w:pPr>
    </w:p>
    <w:p w14:paraId="1B5B500C" w14:textId="77777777" w:rsidR="00BA1E5E" w:rsidRPr="00EE1CDE" w:rsidRDefault="00BA1E5E" w:rsidP="00D84383">
      <w:pPr>
        <w:numPr>
          <w:ilvl w:val="1"/>
          <w:numId w:val="1"/>
        </w:numPr>
        <w:ind w:left="1440" w:right="720" w:hanging="1440"/>
        <w:rPr>
          <w:rFonts w:eastAsia="Calibri" w:cs="Times New Roman"/>
          <w:sz w:val="22"/>
          <w:szCs w:val="22"/>
        </w:rPr>
      </w:pPr>
      <w:r w:rsidRPr="00EE1CDE">
        <w:rPr>
          <w:rFonts w:eastAsia="Calibri" w:cs="Times New Roman"/>
          <w:color w:val="auto"/>
          <w:sz w:val="22"/>
          <w:szCs w:val="22"/>
        </w:rPr>
        <w:t xml:space="preserve">Refer to </w:t>
      </w:r>
      <w:r w:rsidR="005628CA" w:rsidRPr="00EE1CDE">
        <w:rPr>
          <w:sz w:val="22"/>
          <w:szCs w:val="22"/>
        </w:rPr>
        <w:t>2023_Formula_Rate_Year_Comparison</w:t>
      </w:r>
      <w:r w:rsidRPr="00EE1CDE">
        <w:rPr>
          <w:rFonts w:eastAsia="Calibri" w:cs="Times New Roman"/>
          <w:color w:val="auto"/>
          <w:sz w:val="22"/>
          <w:szCs w:val="22"/>
        </w:rPr>
        <w:t xml:space="preserve">, Line </w:t>
      </w:r>
      <w:r w:rsidR="00D84383" w:rsidRPr="00EE1CDE">
        <w:rPr>
          <w:rFonts w:eastAsia="Calibri" w:cs="Times New Roman"/>
          <w:color w:val="auto"/>
          <w:sz w:val="22"/>
          <w:szCs w:val="22"/>
        </w:rPr>
        <w:t>47</w:t>
      </w:r>
      <w:r w:rsidRPr="00EE1CDE">
        <w:rPr>
          <w:rFonts w:eastAsia="Calibri" w:cs="Times New Roman"/>
          <w:color w:val="auto"/>
          <w:sz w:val="22"/>
          <w:szCs w:val="22"/>
        </w:rPr>
        <w:t xml:space="preserve">, </w:t>
      </w:r>
      <w:r w:rsidR="00D84383" w:rsidRPr="00EE1CDE">
        <w:rPr>
          <w:rFonts w:eastAsia="Calibri" w:cs="Times New Roman"/>
          <w:sz w:val="22"/>
          <w:szCs w:val="22"/>
        </w:rPr>
        <w:t>Undistributed Stores Exp</w:t>
      </w:r>
      <w:r w:rsidR="0072252C">
        <w:rPr>
          <w:rFonts w:eastAsia="Calibri" w:cs="Times New Roman"/>
          <w:color w:val="auto"/>
          <w:sz w:val="22"/>
          <w:szCs w:val="22"/>
        </w:rPr>
        <w:t>.  P</w:t>
      </w:r>
      <w:r w:rsidRPr="00EE1CDE">
        <w:rPr>
          <w:rFonts w:eastAsia="Calibri" w:cs="Times New Roman"/>
          <w:color w:val="auto"/>
          <w:sz w:val="22"/>
          <w:szCs w:val="22"/>
        </w:rPr>
        <w:t xml:space="preserve">lease provide a detailed explanation for the </w:t>
      </w:r>
      <w:r w:rsidR="00D84383" w:rsidRPr="00EE1CDE">
        <w:rPr>
          <w:rFonts w:eastAsia="Calibri" w:cs="Times New Roman"/>
          <w:sz w:val="22"/>
          <w:szCs w:val="22"/>
        </w:rPr>
        <w:t>138.39%</w:t>
      </w:r>
      <w:r w:rsidR="00D84383" w:rsidRPr="00EE1CDE">
        <w:rPr>
          <w:rFonts w:eastAsia="Calibri" w:cs="Times New Roman"/>
          <w:color w:val="auto"/>
          <w:sz w:val="22"/>
          <w:szCs w:val="22"/>
        </w:rPr>
        <w:t xml:space="preserve">, </w:t>
      </w:r>
      <w:r w:rsidRPr="00EE1CDE">
        <w:rPr>
          <w:rFonts w:eastAsia="Calibri" w:cs="Times New Roman"/>
          <w:color w:val="auto"/>
          <w:sz w:val="22"/>
          <w:szCs w:val="22"/>
        </w:rPr>
        <w:t>increase, including a summary of the main drivers.</w:t>
      </w:r>
    </w:p>
    <w:p w14:paraId="191A97EE" w14:textId="31CACC1C" w:rsidR="00BA1E5E"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1.4:</w:t>
      </w:r>
      <w:r w:rsidR="00045C62">
        <w:rPr>
          <w:rFonts w:eastAsia="Calibri" w:cs="Times New Roman"/>
          <w:color w:val="70AD47" w:themeColor="accent6"/>
          <w:sz w:val="22"/>
          <w:szCs w:val="22"/>
        </w:rPr>
        <w:t xml:space="preserve"> Referring to the formula line 47, Undistributed Stores expense increased 138.39%, or $385 thousand of which $54 thousand was allocated to the revenue requirement.</w:t>
      </w:r>
      <w:r w:rsidR="004E7613">
        <w:rPr>
          <w:rFonts w:eastAsia="Calibri" w:cs="Times New Roman"/>
          <w:color w:val="70AD47" w:themeColor="accent6"/>
          <w:sz w:val="22"/>
          <w:szCs w:val="22"/>
        </w:rPr>
        <w:t xml:space="preserve">  The primary driver for increased supplies is replenishing materials and supplies </w:t>
      </w:r>
      <w:r w:rsidR="00A70806">
        <w:rPr>
          <w:rFonts w:eastAsia="Calibri" w:cs="Times New Roman"/>
          <w:color w:val="70AD47" w:themeColor="accent6"/>
          <w:sz w:val="22"/>
          <w:szCs w:val="22"/>
        </w:rPr>
        <w:t xml:space="preserve">levels </w:t>
      </w:r>
      <w:r w:rsidR="004E7613">
        <w:rPr>
          <w:rFonts w:eastAsia="Calibri" w:cs="Times New Roman"/>
          <w:color w:val="70AD47" w:themeColor="accent6"/>
          <w:sz w:val="22"/>
          <w:szCs w:val="22"/>
        </w:rPr>
        <w:t xml:space="preserve">effected by COVID supply </w:t>
      </w:r>
      <w:r w:rsidR="00FB3A79">
        <w:rPr>
          <w:rFonts w:eastAsia="Calibri" w:cs="Times New Roman"/>
          <w:color w:val="70AD47" w:themeColor="accent6"/>
          <w:sz w:val="22"/>
          <w:szCs w:val="22"/>
        </w:rPr>
        <w:t xml:space="preserve">chain disruptions, constraints and </w:t>
      </w:r>
      <w:r w:rsidR="004E7613">
        <w:rPr>
          <w:rFonts w:eastAsia="Calibri" w:cs="Times New Roman"/>
          <w:color w:val="70AD47" w:themeColor="accent6"/>
          <w:sz w:val="22"/>
          <w:szCs w:val="22"/>
        </w:rPr>
        <w:t>shortages</w:t>
      </w:r>
      <w:r w:rsidR="00FB3A79">
        <w:rPr>
          <w:rFonts w:eastAsia="Calibri" w:cs="Times New Roman"/>
          <w:color w:val="70AD47" w:themeColor="accent6"/>
          <w:sz w:val="22"/>
          <w:szCs w:val="22"/>
        </w:rPr>
        <w:t>.</w:t>
      </w:r>
      <w:r w:rsidR="004E7613">
        <w:rPr>
          <w:rFonts w:eastAsia="Calibri" w:cs="Times New Roman"/>
          <w:color w:val="70AD47" w:themeColor="accent6"/>
          <w:sz w:val="22"/>
          <w:szCs w:val="22"/>
        </w:rPr>
        <w:t xml:space="preserve"> </w:t>
      </w:r>
    </w:p>
    <w:p w14:paraId="2C434873" w14:textId="77777777" w:rsidR="008B7BCE" w:rsidRPr="005E1D93" w:rsidRDefault="008B7BCE" w:rsidP="005E1D93">
      <w:pPr>
        <w:ind w:left="1440" w:right="720"/>
        <w:rPr>
          <w:rFonts w:eastAsia="Calibri" w:cs="Times New Roman"/>
          <w:color w:val="70AD47" w:themeColor="accent6"/>
          <w:sz w:val="22"/>
          <w:szCs w:val="22"/>
        </w:rPr>
      </w:pPr>
    </w:p>
    <w:p w14:paraId="2C3F2617" w14:textId="77777777" w:rsidR="00BA1E5E" w:rsidRPr="00EE1CDE" w:rsidRDefault="00BA1E5E" w:rsidP="00D8038C">
      <w:pPr>
        <w:pStyle w:val="ListParagraph"/>
        <w:numPr>
          <w:ilvl w:val="1"/>
          <w:numId w:val="1"/>
        </w:numPr>
        <w:spacing w:after="0" w:line="240" w:lineRule="auto"/>
        <w:ind w:left="1440" w:right="720" w:hanging="1440"/>
        <w:contextualSpacing w:val="0"/>
        <w:rPr>
          <w:rFonts w:ascii="Garamond" w:hAnsi="Garamond"/>
        </w:rPr>
      </w:pPr>
      <w:r w:rsidRPr="00EE1CDE">
        <w:rPr>
          <w:rFonts w:ascii="Garamond" w:hAnsi="Garamond"/>
        </w:rPr>
        <w:t xml:space="preserve">Refer to </w:t>
      </w:r>
      <w:r w:rsidR="005628CA" w:rsidRPr="00EE1CDE">
        <w:rPr>
          <w:rFonts w:ascii="Garamond" w:hAnsi="Garamond"/>
        </w:rPr>
        <w:t>2023_Formula_Rate_Year_Comparison</w:t>
      </w:r>
      <w:r w:rsidRPr="00EE1CDE">
        <w:rPr>
          <w:rFonts w:ascii="Garamond" w:hAnsi="Garamond"/>
        </w:rPr>
        <w:t xml:space="preserve">, Line </w:t>
      </w:r>
      <w:r w:rsidR="00BD2326" w:rsidRPr="00EE1CDE">
        <w:rPr>
          <w:rFonts w:ascii="Garamond" w:hAnsi="Garamond"/>
        </w:rPr>
        <w:t>51,</w:t>
      </w:r>
      <w:r w:rsidR="00BD2326" w:rsidRPr="00EE1CDE">
        <w:rPr>
          <w:rFonts w:ascii="Garamond" w:eastAsia="Times New Roman" w:hAnsi="Garamond" w:cs="Lucida Sans Unicode"/>
          <w:color w:val="1F497D"/>
          <w:sz w:val="24"/>
          <w:szCs w:val="18"/>
        </w:rPr>
        <w:t xml:space="preserve"> </w:t>
      </w:r>
      <w:r w:rsidR="00BD2326" w:rsidRPr="00EE1CDE">
        <w:rPr>
          <w:rFonts w:ascii="Garamond" w:hAnsi="Garamond"/>
        </w:rPr>
        <w:t>Total Materials &amp; Supplies Allocated to Transmission</w:t>
      </w:r>
      <w:r w:rsidR="0072252C">
        <w:rPr>
          <w:rFonts w:ascii="Garamond" w:hAnsi="Garamond"/>
        </w:rPr>
        <w:t>.</w:t>
      </w:r>
      <w:r w:rsidRPr="00EE1CDE">
        <w:rPr>
          <w:rFonts w:ascii="Garamond" w:hAnsi="Garamond"/>
        </w:rPr>
        <w:t xml:space="preserve"> </w:t>
      </w:r>
      <w:r w:rsidR="0072252C">
        <w:rPr>
          <w:rFonts w:ascii="Garamond" w:hAnsi="Garamond"/>
        </w:rPr>
        <w:t xml:space="preserve"> P</w:t>
      </w:r>
      <w:r w:rsidRPr="00EE1CDE">
        <w:rPr>
          <w:rFonts w:ascii="Garamond" w:hAnsi="Garamond"/>
        </w:rPr>
        <w:t xml:space="preserve">lease provide a detailed explanation for the </w:t>
      </w:r>
      <w:r w:rsidR="00BD2326" w:rsidRPr="00EE1CDE">
        <w:rPr>
          <w:rFonts w:ascii="Garamond" w:hAnsi="Garamond"/>
        </w:rPr>
        <w:t>12.7%</w:t>
      </w:r>
      <w:r w:rsidR="00325AC9" w:rsidRPr="00EE1CDE">
        <w:rPr>
          <w:rFonts w:ascii="Garamond" w:hAnsi="Garamond"/>
        </w:rPr>
        <w:t xml:space="preserve"> increase</w:t>
      </w:r>
      <w:r w:rsidRPr="00EE1CDE">
        <w:rPr>
          <w:rFonts w:ascii="Garamond" w:hAnsi="Garamond"/>
        </w:rPr>
        <w:t>, including a summary of the main drivers.</w:t>
      </w:r>
      <w:r w:rsidR="004C4093" w:rsidRPr="00EE1CDE">
        <w:rPr>
          <w:rFonts w:ascii="Garamond" w:hAnsi="Garamond"/>
        </w:rPr>
        <w:t xml:space="preserve"> </w:t>
      </w:r>
    </w:p>
    <w:p w14:paraId="0DA510AF" w14:textId="4C051368" w:rsidR="00EE1CDE" w:rsidRPr="005E1D93"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1.5:</w:t>
      </w:r>
      <w:r w:rsidR="004E7613">
        <w:rPr>
          <w:rFonts w:eastAsia="Calibri" w:cs="Times New Roman"/>
          <w:color w:val="70AD47" w:themeColor="accent6"/>
          <w:sz w:val="22"/>
          <w:szCs w:val="22"/>
        </w:rPr>
        <w:t xml:space="preserve"> Referring to the formula line 51, Total Materials and S</w:t>
      </w:r>
      <w:r w:rsidR="00A70806">
        <w:rPr>
          <w:rFonts w:eastAsia="Calibri" w:cs="Times New Roman"/>
          <w:color w:val="70AD47" w:themeColor="accent6"/>
          <w:sz w:val="22"/>
          <w:szCs w:val="22"/>
        </w:rPr>
        <w:t xml:space="preserve">upplies Allocated to Transmission increased 12.7%, or $89 thousand, primarily due to replenishing materials and supplies levels effected by COVID supply </w:t>
      </w:r>
      <w:r w:rsidR="00FB3A79">
        <w:rPr>
          <w:rFonts w:eastAsia="Calibri" w:cs="Times New Roman"/>
          <w:color w:val="70AD47" w:themeColor="accent6"/>
          <w:sz w:val="22"/>
          <w:szCs w:val="22"/>
        </w:rPr>
        <w:t xml:space="preserve">chain disruptions, constraints and </w:t>
      </w:r>
      <w:r w:rsidR="00A70806">
        <w:rPr>
          <w:rFonts w:eastAsia="Calibri" w:cs="Times New Roman"/>
          <w:color w:val="70AD47" w:themeColor="accent6"/>
          <w:sz w:val="22"/>
          <w:szCs w:val="22"/>
        </w:rPr>
        <w:t>shortages</w:t>
      </w:r>
      <w:r w:rsidR="00FB3A79">
        <w:rPr>
          <w:rFonts w:eastAsia="Calibri" w:cs="Times New Roman"/>
          <w:color w:val="70AD47" w:themeColor="accent6"/>
          <w:sz w:val="22"/>
          <w:szCs w:val="22"/>
        </w:rPr>
        <w:t>.</w:t>
      </w:r>
      <w:r w:rsidR="00A70806">
        <w:rPr>
          <w:rFonts w:eastAsia="Calibri" w:cs="Times New Roman"/>
          <w:color w:val="70AD47" w:themeColor="accent6"/>
          <w:sz w:val="22"/>
          <w:szCs w:val="22"/>
        </w:rPr>
        <w:t xml:space="preserve"> </w:t>
      </w:r>
    </w:p>
    <w:p w14:paraId="107DB243" w14:textId="77777777" w:rsidR="005E1D93" w:rsidRPr="00EE1CDE" w:rsidRDefault="005E1D93" w:rsidP="00EE1CDE">
      <w:pPr>
        <w:pStyle w:val="ListParagraph"/>
        <w:rPr>
          <w:rFonts w:ascii="Garamond" w:hAnsi="Garamond"/>
        </w:rPr>
      </w:pPr>
    </w:p>
    <w:p w14:paraId="412C8005" w14:textId="77777777" w:rsidR="00EE1CDE" w:rsidRPr="00EE1CDE" w:rsidRDefault="00EE1CDE" w:rsidP="00EE1CDE">
      <w:pPr>
        <w:pStyle w:val="ListParagraph"/>
        <w:numPr>
          <w:ilvl w:val="1"/>
          <w:numId w:val="1"/>
        </w:numPr>
        <w:spacing w:after="0" w:line="240" w:lineRule="auto"/>
        <w:ind w:left="1440" w:right="720" w:hanging="1440"/>
        <w:contextualSpacing w:val="0"/>
        <w:rPr>
          <w:rFonts w:ascii="Garamond" w:hAnsi="Garamond"/>
        </w:rPr>
      </w:pPr>
      <w:r w:rsidRPr="00EE1CDE">
        <w:rPr>
          <w:rFonts w:ascii="Garamond" w:hAnsi="Garamond"/>
        </w:rPr>
        <w:t>Refer to 2023_Formula_Rate_Year_Comparison, Line 60.  Please explain the drivers behind the $19 million increase, with reference to specific FERC Accounts.</w:t>
      </w:r>
    </w:p>
    <w:p w14:paraId="633804D3" w14:textId="77777777" w:rsidR="00426D69" w:rsidRPr="005E1D93"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1.6:</w:t>
      </w:r>
      <w:r w:rsidR="00405CFF">
        <w:rPr>
          <w:rFonts w:eastAsia="Calibri" w:cs="Times New Roman"/>
          <w:color w:val="70AD47" w:themeColor="accent6"/>
          <w:sz w:val="22"/>
          <w:szCs w:val="22"/>
        </w:rPr>
        <w:t xml:space="preserve">  Referring to formula line 60, Transmission O&amp;M increased $19 million, or 13.13% primarily due to increases in account 565 Transmission of Electricity By Others, or direct assigned O&amp;M to third parties.  As shown in formula line 63, direct assigned O&amp;M to third parties is removed from the revenue requirement.  PSE transmission O&amp;M that flows through to the revenue requirement, as shown on formula line 64, increased $1.123 million, or 5.51%, primarily due to </w:t>
      </w:r>
      <w:r w:rsidR="009B2984">
        <w:rPr>
          <w:rFonts w:eastAsia="Calibri" w:cs="Times New Roman"/>
          <w:color w:val="70AD47" w:themeColor="accent6"/>
          <w:sz w:val="22"/>
          <w:szCs w:val="22"/>
        </w:rPr>
        <w:t>increased transmission plant and increases in the cost of operating and maintaining the PSE transmission system.</w:t>
      </w:r>
    </w:p>
    <w:p w14:paraId="771DF7A7" w14:textId="77777777" w:rsidR="005E1D93" w:rsidRDefault="005E1D93" w:rsidP="007E7547"/>
    <w:p w14:paraId="53B2BC2D" w14:textId="77777777" w:rsidR="00EE1CDE" w:rsidRPr="00EE1CDE" w:rsidRDefault="00EE1CDE" w:rsidP="00EE1CDE">
      <w:pPr>
        <w:pStyle w:val="ListParagraph"/>
        <w:numPr>
          <w:ilvl w:val="1"/>
          <w:numId w:val="1"/>
        </w:numPr>
        <w:spacing w:after="0" w:line="240" w:lineRule="auto"/>
        <w:ind w:left="1440" w:right="720" w:hanging="1440"/>
        <w:contextualSpacing w:val="0"/>
        <w:rPr>
          <w:rFonts w:ascii="Garamond" w:hAnsi="Garamond"/>
        </w:rPr>
      </w:pPr>
      <w:r w:rsidRPr="00EE1CDE">
        <w:rPr>
          <w:rFonts w:ascii="Garamond" w:hAnsi="Garamond"/>
        </w:rPr>
        <w:t>Refer to 2023_Formula_Rate_Year_Comparison, Line 65.  Please explain the drivers behind the $9.2 million increase, with reference to specific FERC Accounts.  BPA understands that only a fraction is allocated to Transmission.</w:t>
      </w:r>
    </w:p>
    <w:p w14:paraId="0AE9E397" w14:textId="77777777" w:rsidR="00EE1CDE" w:rsidRPr="005E1D93"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BPA Response to BPA 1.7:</w:t>
      </w:r>
      <w:r w:rsidR="003C12BC">
        <w:rPr>
          <w:rFonts w:eastAsia="Calibri" w:cs="Times New Roman"/>
          <w:color w:val="70AD47" w:themeColor="accent6"/>
          <w:sz w:val="22"/>
          <w:szCs w:val="22"/>
        </w:rPr>
        <w:t xml:space="preserve">  Referring to formula line 65, Total Administration and General Expenses increased $9.2 million, or 6.11%, primarily due to </w:t>
      </w:r>
      <w:r w:rsidR="00155D55">
        <w:rPr>
          <w:rFonts w:eastAsia="Calibri" w:cs="Times New Roman"/>
          <w:color w:val="70AD47" w:themeColor="accent6"/>
          <w:sz w:val="22"/>
          <w:szCs w:val="22"/>
        </w:rPr>
        <w:t>increases in regulatory commission expenses and slight increase in wages due to hiring and increases</w:t>
      </w:r>
      <w:r w:rsidR="00CA5A9C">
        <w:rPr>
          <w:rFonts w:eastAsia="Calibri" w:cs="Times New Roman"/>
          <w:color w:val="70AD47" w:themeColor="accent6"/>
          <w:sz w:val="22"/>
          <w:szCs w:val="22"/>
        </w:rPr>
        <w:t xml:space="preserve"> in cost of labor.</w:t>
      </w:r>
      <w:r w:rsidR="00155D55">
        <w:rPr>
          <w:rFonts w:eastAsia="Calibri" w:cs="Times New Roman"/>
          <w:color w:val="70AD47" w:themeColor="accent6"/>
          <w:sz w:val="22"/>
          <w:szCs w:val="22"/>
        </w:rPr>
        <w:t xml:space="preserve">  As shown in formula line 68, regulatory expenses attributed to state regulatory is removed and therefore excluded from the revenue requirement.</w:t>
      </w:r>
    </w:p>
    <w:p w14:paraId="49CCD825" w14:textId="77777777" w:rsidR="005E1D93" w:rsidRDefault="005E1D93" w:rsidP="00EE1CDE">
      <w:pPr>
        <w:ind w:right="720"/>
      </w:pPr>
    </w:p>
    <w:p w14:paraId="528CD76F" w14:textId="77777777" w:rsidR="005628CA" w:rsidRPr="00EE1CDE" w:rsidRDefault="00426D69" w:rsidP="005628CA">
      <w:pPr>
        <w:pStyle w:val="ListParagraph"/>
        <w:numPr>
          <w:ilvl w:val="1"/>
          <w:numId w:val="1"/>
        </w:numPr>
        <w:spacing w:after="0" w:line="240" w:lineRule="auto"/>
        <w:ind w:left="1440" w:right="720" w:hanging="1440"/>
        <w:contextualSpacing w:val="0"/>
        <w:rPr>
          <w:rFonts w:ascii="Garamond" w:hAnsi="Garamond"/>
        </w:rPr>
      </w:pPr>
      <w:r w:rsidRPr="00EE1CDE">
        <w:rPr>
          <w:rFonts w:ascii="Garamond" w:hAnsi="Garamond"/>
        </w:rPr>
        <w:t>Refer to Attachment 6, cell F119.  Please explain why the interest rate is the same for the AATRR and PATRR.</w:t>
      </w:r>
    </w:p>
    <w:p w14:paraId="0031AEEB" w14:textId="77777777" w:rsidR="00426D69" w:rsidRPr="005E1D93"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1.8:</w:t>
      </w:r>
      <w:r w:rsidR="004B5B95">
        <w:rPr>
          <w:rFonts w:eastAsia="Calibri" w:cs="Times New Roman"/>
          <w:color w:val="70AD47" w:themeColor="accent6"/>
          <w:sz w:val="22"/>
          <w:szCs w:val="22"/>
        </w:rPr>
        <w:t xml:space="preserve">  Referring to Attachment 6, the interest rate is part of the compilation of the True –Up that only applies to </w:t>
      </w:r>
      <w:r w:rsidR="00EF6526">
        <w:rPr>
          <w:rFonts w:eastAsia="Calibri" w:cs="Times New Roman"/>
          <w:color w:val="70AD47" w:themeColor="accent6"/>
          <w:sz w:val="22"/>
          <w:szCs w:val="22"/>
        </w:rPr>
        <w:t xml:space="preserve">the </w:t>
      </w:r>
      <w:r w:rsidR="004B5B95">
        <w:rPr>
          <w:rFonts w:eastAsia="Calibri" w:cs="Times New Roman"/>
          <w:color w:val="70AD47" w:themeColor="accent6"/>
          <w:sz w:val="22"/>
          <w:szCs w:val="22"/>
        </w:rPr>
        <w:t>PATRR that incorporates the True-Up adjustment to the transmission rate.  In the AATRR, Attachment 6 does not flow the transmission plant forecast (AATRR formula line 16) nor the True-Up adjustment (AATRR formula line 178) into the revenue requirement.  You will notice that AATRR formula lines 16 and 178 are blank.  Therefore, the</w:t>
      </w:r>
      <w:r w:rsidR="009E2D7E">
        <w:rPr>
          <w:rFonts w:eastAsia="Calibri" w:cs="Times New Roman"/>
          <w:color w:val="70AD47" w:themeColor="accent6"/>
          <w:sz w:val="22"/>
          <w:szCs w:val="22"/>
        </w:rPr>
        <w:t xml:space="preserve"> AATRR Attachment 6</w:t>
      </w:r>
      <w:r w:rsidR="004B5B95">
        <w:rPr>
          <w:rFonts w:eastAsia="Calibri" w:cs="Times New Roman"/>
          <w:color w:val="70AD47" w:themeColor="accent6"/>
          <w:sz w:val="22"/>
          <w:szCs w:val="22"/>
        </w:rPr>
        <w:t xml:space="preserve"> (as well as 6A – Colstrip and 6B - Southern Intertie)</w:t>
      </w:r>
      <w:r w:rsidR="00EF6526">
        <w:rPr>
          <w:rFonts w:eastAsia="Calibri" w:cs="Times New Roman"/>
          <w:color w:val="70AD47" w:themeColor="accent6"/>
          <w:sz w:val="22"/>
          <w:szCs w:val="22"/>
        </w:rPr>
        <w:t xml:space="preserve"> is an unused carry-over from the PATRR.</w:t>
      </w:r>
    </w:p>
    <w:p w14:paraId="0D102EF0" w14:textId="77777777" w:rsidR="005E1D93" w:rsidRDefault="005E1D93" w:rsidP="00EE1CDE"/>
    <w:p w14:paraId="40E55E31" w14:textId="77777777" w:rsidR="00426D69" w:rsidRPr="00426D69" w:rsidRDefault="00426D69" w:rsidP="005854C6">
      <w:pPr>
        <w:pStyle w:val="ListParagraph"/>
        <w:numPr>
          <w:ilvl w:val="1"/>
          <w:numId w:val="1"/>
        </w:numPr>
        <w:spacing w:after="0" w:line="240" w:lineRule="auto"/>
        <w:ind w:left="1440" w:right="720" w:hanging="1440"/>
        <w:contextualSpacing w:val="0"/>
        <w:rPr>
          <w:rFonts w:ascii="Garamond" w:hAnsi="Garamond"/>
        </w:rPr>
      </w:pPr>
      <w:r w:rsidRPr="00426D69">
        <w:rPr>
          <w:rFonts w:ascii="Garamond" w:hAnsi="Garamond"/>
        </w:rPr>
        <w:t>Please provide a copy of Puget’s FERC Form 1.</w:t>
      </w:r>
    </w:p>
    <w:p w14:paraId="3A5B5E13" w14:textId="34F8DA3A" w:rsidR="004A5E99" w:rsidRDefault="005E1D93" w:rsidP="005E1D93">
      <w:pPr>
        <w:ind w:left="1440" w:right="720"/>
        <w:rPr>
          <w:rFonts w:eastAsia="Calibri" w:cs="Times New Roman"/>
          <w:color w:val="70AD47" w:themeColor="accent6"/>
          <w:sz w:val="22"/>
          <w:szCs w:val="22"/>
        </w:rPr>
      </w:pPr>
      <w:r w:rsidRPr="00C91CDE">
        <w:rPr>
          <w:rFonts w:eastAsia="Calibri" w:cs="Times New Roman"/>
          <w:b/>
          <w:color w:val="70AD47" w:themeColor="accent6"/>
          <w:sz w:val="22"/>
          <w:szCs w:val="22"/>
          <w:u w:val="single"/>
        </w:rPr>
        <w:t>PSE Response to BPA 1.9:</w:t>
      </w:r>
      <w:r w:rsidR="009D3086">
        <w:rPr>
          <w:rFonts w:eastAsia="Calibri" w:cs="Times New Roman"/>
          <w:color w:val="70AD47" w:themeColor="accent6"/>
          <w:sz w:val="22"/>
          <w:szCs w:val="22"/>
        </w:rPr>
        <w:t xml:space="preserve">  An HTML version of the PSE FERC Form 1 will be sent via email to the </w:t>
      </w:r>
      <w:r w:rsidR="00987FA0">
        <w:rPr>
          <w:rFonts w:eastAsia="Calibri" w:cs="Times New Roman"/>
          <w:color w:val="70AD47" w:themeColor="accent6"/>
          <w:sz w:val="22"/>
          <w:szCs w:val="22"/>
        </w:rPr>
        <w:t xml:space="preserve">BPA </w:t>
      </w:r>
      <w:r w:rsidR="009D3086">
        <w:rPr>
          <w:rFonts w:eastAsia="Calibri" w:cs="Times New Roman"/>
          <w:color w:val="70AD47" w:themeColor="accent6"/>
          <w:sz w:val="22"/>
          <w:szCs w:val="22"/>
        </w:rPr>
        <w:t>email addresses sent</w:t>
      </w:r>
      <w:r w:rsidR="00987FA0">
        <w:rPr>
          <w:rFonts w:eastAsia="Calibri" w:cs="Times New Roman"/>
          <w:color w:val="70AD47" w:themeColor="accent6"/>
          <w:sz w:val="22"/>
          <w:szCs w:val="22"/>
        </w:rPr>
        <w:t xml:space="preserve"> with the Information Request.  The HTML file is 14.3MB, but hopefully not too large for the BPA email parameters and able to get through the BPA email firewall.  If not, the PSE FERC Form 1 was filed </w:t>
      </w:r>
      <w:r w:rsidR="00C0029E">
        <w:rPr>
          <w:rFonts w:eastAsia="Calibri" w:cs="Times New Roman"/>
          <w:color w:val="70AD47" w:themeColor="accent6"/>
          <w:sz w:val="22"/>
          <w:szCs w:val="22"/>
        </w:rPr>
        <w:t>with</w:t>
      </w:r>
      <w:r w:rsidR="00987FA0">
        <w:rPr>
          <w:rFonts w:eastAsia="Calibri" w:cs="Times New Roman"/>
          <w:color w:val="70AD47" w:themeColor="accent6"/>
          <w:sz w:val="22"/>
          <w:szCs w:val="22"/>
        </w:rPr>
        <w:t xml:space="preserve"> FERC April 14, 2023, so a search on the FERC </w:t>
      </w:r>
      <w:proofErr w:type="spellStart"/>
      <w:r w:rsidR="00987FA0">
        <w:rPr>
          <w:rFonts w:eastAsia="Calibri" w:cs="Times New Roman"/>
          <w:color w:val="70AD47" w:themeColor="accent6"/>
          <w:sz w:val="22"/>
          <w:szCs w:val="22"/>
        </w:rPr>
        <w:t>elibrary</w:t>
      </w:r>
      <w:proofErr w:type="spellEnd"/>
      <w:r w:rsidR="00987FA0">
        <w:rPr>
          <w:rFonts w:eastAsia="Calibri" w:cs="Times New Roman"/>
          <w:color w:val="70AD47" w:themeColor="accent6"/>
          <w:sz w:val="22"/>
          <w:szCs w:val="22"/>
        </w:rPr>
        <w:t xml:space="preserve"> for Puget Sound Energy on 04/14/2023 will find it as one of </w:t>
      </w:r>
      <w:r w:rsidR="00CC338D">
        <w:rPr>
          <w:rFonts w:eastAsia="Calibri" w:cs="Times New Roman"/>
          <w:color w:val="70AD47" w:themeColor="accent6"/>
          <w:sz w:val="22"/>
          <w:szCs w:val="22"/>
        </w:rPr>
        <w:t xml:space="preserve">the </w:t>
      </w:r>
      <w:r w:rsidR="00987FA0">
        <w:rPr>
          <w:rFonts w:eastAsia="Calibri" w:cs="Times New Roman"/>
          <w:color w:val="70AD47" w:themeColor="accent6"/>
          <w:sz w:val="22"/>
          <w:szCs w:val="22"/>
        </w:rPr>
        <w:t>top results.</w:t>
      </w:r>
    </w:p>
    <w:p w14:paraId="49D8ADC6" w14:textId="188F6271" w:rsidR="005434F7" w:rsidRDefault="005434F7" w:rsidP="005E1D93">
      <w:pPr>
        <w:ind w:left="1440" w:right="720"/>
        <w:rPr>
          <w:rFonts w:eastAsia="Calibri" w:cs="Times New Roman"/>
          <w:sz w:val="22"/>
          <w:szCs w:val="22"/>
        </w:rPr>
      </w:pPr>
    </w:p>
    <w:p w14:paraId="4FC056E7" w14:textId="20D2AB32" w:rsidR="005434F7" w:rsidRDefault="005434F7" w:rsidP="005E1D93">
      <w:pPr>
        <w:ind w:left="1440" w:right="720"/>
        <w:rPr>
          <w:rFonts w:eastAsia="Calibri" w:cs="Times New Roman"/>
          <w:sz w:val="22"/>
          <w:szCs w:val="22"/>
        </w:rPr>
      </w:pPr>
    </w:p>
    <w:p w14:paraId="4CFE5762" w14:textId="546B299C" w:rsidR="005434F7" w:rsidRDefault="005434F7" w:rsidP="005E1D93">
      <w:pPr>
        <w:ind w:left="1440" w:right="720"/>
        <w:rPr>
          <w:rFonts w:eastAsia="Calibri" w:cs="Times New Roman"/>
          <w:sz w:val="22"/>
          <w:szCs w:val="22"/>
        </w:rPr>
      </w:pPr>
    </w:p>
    <w:p w14:paraId="2E282BCD" w14:textId="5625210D" w:rsidR="005434F7" w:rsidRDefault="005434F7" w:rsidP="005E1D93">
      <w:pPr>
        <w:ind w:left="1440" w:right="720"/>
        <w:rPr>
          <w:rFonts w:eastAsia="Calibri" w:cs="Times New Roman"/>
          <w:sz w:val="22"/>
          <w:szCs w:val="22"/>
        </w:rPr>
      </w:pPr>
    </w:p>
    <w:p w14:paraId="6971D7CC" w14:textId="4F709269" w:rsidR="005434F7" w:rsidRDefault="005434F7" w:rsidP="005E1D93">
      <w:pPr>
        <w:ind w:left="1440" w:right="720"/>
        <w:rPr>
          <w:rFonts w:eastAsia="Calibri" w:cs="Times New Roman"/>
          <w:sz w:val="22"/>
          <w:szCs w:val="22"/>
        </w:rPr>
      </w:pPr>
    </w:p>
    <w:p w14:paraId="2CADB62A" w14:textId="1F3231F1" w:rsidR="005434F7" w:rsidRDefault="005434F7" w:rsidP="005E1D93">
      <w:pPr>
        <w:ind w:left="1440" w:right="720"/>
        <w:rPr>
          <w:rFonts w:eastAsia="Calibri" w:cs="Times New Roman"/>
          <w:sz w:val="22"/>
          <w:szCs w:val="22"/>
        </w:rPr>
      </w:pPr>
    </w:p>
    <w:p w14:paraId="63B2A55E" w14:textId="577EF78A" w:rsidR="005434F7" w:rsidRDefault="005434F7" w:rsidP="005E1D93">
      <w:pPr>
        <w:ind w:left="1440" w:right="720"/>
        <w:rPr>
          <w:rFonts w:eastAsia="Calibri" w:cs="Times New Roman"/>
          <w:sz w:val="22"/>
          <w:szCs w:val="22"/>
        </w:rPr>
      </w:pPr>
    </w:p>
    <w:p w14:paraId="3CEB54A8" w14:textId="2B1B7D9C" w:rsidR="005434F7" w:rsidRDefault="005434F7" w:rsidP="005E1D93">
      <w:pPr>
        <w:ind w:left="1440" w:right="720"/>
        <w:rPr>
          <w:rFonts w:eastAsia="Calibri" w:cs="Times New Roman"/>
          <w:sz w:val="22"/>
          <w:szCs w:val="22"/>
        </w:rPr>
      </w:pPr>
    </w:p>
    <w:p w14:paraId="58AE9593" w14:textId="3CAD0251" w:rsidR="005434F7" w:rsidRDefault="005434F7" w:rsidP="005E1D93">
      <w:pPr>
        <w:ind w:left="1440" w:right="720"/>
        <w:rPr>
          <w:rFonts w:eastAsia="Calibri" w:cs="Times New Roman"/>
          <w:sz w:val="22"/>
          <w:szCs w:val="22"/>
        </w:rPr>
      </w:pPr>
    </w:p>
    <w:p w14:paraId="543EB611" w14:textId="77777777" w:rsidR="005434F7" w:rsidRPr="005E1D93" w:rsidRDefault="005434F7" w:rsidP="005E1D93">
      <w:pPr>
        <w:ind w:left="1440" w:right="720"/>
        <w:rPr>
          <w:rFonts w:eastAsia="Calibri" w:cs="Times New Roman"/>
          <w:color w:val="70AD47" w:themeColor="accent6"/>
          <w:sz w:val="22"/>
          <w:szCs w:val="22"/>
        </w:rPr>
      </w:pPr>
    </w:p>
    <w:sectPr w:rsidR="005434F7" w:rsidRPr="005E1D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819B0" w14:textId="77777777" w:rsidR="006A5F11" w:rsidRDefault="006A5F11" w:rsidP="00D55B9B">
      <w:r>
        <w:separator/>
      </w:r>
    </w:p>
  </w:endnote>
  <w:endnote w:type="continuationSeparator" w:id="0">
    <w:p w14:paraId="5266C602" w14:textId="77777777" w:rsidR="006A5F11" w:rsidRDefault="006A5F11" w:rsidP="00D5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D8FD" w14:textId="77777777" w:rsidR="00D55B9B" w:rsidRDefault="00D5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F1BB" w14:textId="77777777" w:rsidR="00D55B9B" w:rsidRDefault="00D5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16DC" w14:textId="77777777" w:rsidR="00D55B9B" w:rsidRDefault="00D5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ECB04" w14:textId="77777777" w:rsidR="006A5F11" w:rsidRDefault="006A5F11" w:rsidP="00D55B9B">
      <w:r>
        <w:separator/>
      </w:r>
    </w:p>
  </w:footnote>
  <w:footnote w:type="continuationSeparator" w:id="0">
    <w:p w14:paraId="1A3B0954" w14:textId="77777777" w:rsidR="006A5F11" w:rsidRDefault="006A5F11" w:rsidP="00D5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E0E9" w14:textId="77777777" w:rsidR="00D55B9B" w:rsidRDefault="00D55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47CB" w14:textId="77777777" w:rsidR="00D55B9B" w:rsidRDefault="00D55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86CA" w14:textId="77777777" w:rsidR="00D55B9B" w:rsidRDefault="00D55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907"/>
    <w:multiLevelType w:val="hybridMultilevel"/>
    <w:tmpl w:val="8DFA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8927E8"/>
    <w:multiLevelType w:val="multilevel"/>
    <w:tmpl w:val="B3A44830"/>
    <w:lvl w:ilvl="0">
      <w:start w:val="1"/>
      <w:numFmt w:val="decimal"/>
      <w:lvlText w:val="%1"/>
      <w:lvlJc w:val="left"/>
      <w:pPr>
        <w:ind w:left="720" w:hanging="720"/>
      </w:pPr>
      <w:rPr>
        <w:rFonts w:hint="default"/>
        <w:b/>
      </w:rPr>
    </w:lvl>
    <w:lvl w:ilvl="1">
      <w:start w:val="1"/>
      <w:numFmt w:val="decimal"/>
      <w:lvlText w:val="BPA 1. %2"/>
      <w:lvlJc w:val="left"/>
      <w:pPr>
        <w:ind w:left="720" w:hanging="720"/>
      </w:pPr>
      <w:rPr>
        <w:rFonts w:hint="default"/>
        <w:b/>
      </w:rPr>
    </w:lvl>
    <w:lvl w:ilvl="2">
      <w:start w:val="1"/>
      <w:numFmt w:val="lowerLetter"/>
      <w:lvlText w:val="%3"/>
      <w:lvlJc w:val="left"/>
      <w:pPr>
        <w:ind w:left="1296" w:firstLine="216"/>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E"/>
    <w:rsid w:val="000156FE"/>
    <w:rsid w:val="000320F9"/>
    <w:rsid w:val="00045C62"/>
    <w:rsid w:val="00051349"/>
    <w:rsid w:val="00076EC0"/>
    <w:rsid w:val="00155D55"/>
    <w:rsid w:val="00191BC3"/>
    <w:rsid w:val="002B01F3"/>
    <w:rsid w:val="002C5D6E"/>
    <w:rsid w:val="00325AC9"/>
    <w:rsid w:val="0032646C"/>
    <w:rsid w:val="003C12BC"/>
    <w:rsid w:val="00405CFF"/>
    <w:rsid w:val="00426D69"/>
    <w:rsid w:val="004A5E99"/>
    <w:rsid w:val="004B5B95"/>
    <w:rsid w:val="004C4093"/>
    <w:rsid w:val="004D56AD"/>
    <w:rsid w:val="004E7613"/>
    <w:rsid w:val="005434F7"/>
    <w:rsid w:val="005628CA"/>
    <w:rsid w:val="005854C6"/>
    <w:rsid w:val="005E1D93"/>
    <w:rsid w:val="006462F3"/>
    <w:rsid w:val="00694F17"/>
    <w:rsid w:val="006A5F11"/>
    <w:rsid w:val="006C4E8A"/>
    <w:rsid w:val="0072252C"/>
    <w:rsid w:val="00747A97"/>
    <w:rsid w:val="00787FE3"/>
    <w:rsid w:val="0079082F"/>
    <w:rsid w:val="00797B15"/>
    <w:rsid w:val="007E7547"/>
    <w:rsid w:val="008049B6"/>
    <w:rsid w:val="008162A0"/>
    <w:rsid w:val="008747E3"/>
    <w:rsid w:val="008B7BCE"/>
    <w:rsid w:val="008F2129"/>
    <w:rsid w:val="00916E61"/>
    <w:rsid w:val="00987FA0"/>
    <w:rsid w:val="009B2984"/>
    <w:rsid w:val="009B5376"/>
    <w:rsid w:val="009D3086"/>
    <w:rsid w:val="009E2D7E"/>
    <w:rsid w:val="00A70806"/>
    <w:rsid w:val="00AD03C9"/>
    <w:rsid w:val="00AD538D"/>
    <w:rsid w:val="00B47734"/>
    <w:rsid w:val="00BA1E5E"/>
    <w:rsid w:val="00BD2326"/>
    <w:rsid w:val="00C0029E"/>
    <w:rsid w:val="00C86D11"/>
    <w:rsid w:val="00C91CDE"/>
    <w:rsid w:val="00CA5A9C"/>
    <w:rsid w:val="00CB7D20"/>
    <w:rsid w:val="00CC338D"/>
    <w:rsid w:val="00D55B9B"/>
    <w:rsid w:val="00D84383"/>
    <w:rsid w:val="00D93724"/>
    <w:rsid w:val="00DA0C17"/>
    <w:rsid w:val="00E17772"/>
    <w:rsid w:val="00E67024"/>
    <w:rsid w:val="00EC4543"/>
    <w:rsid w:val="00EE1CDE"/>
    <w:rsid w:val="00EF6526"/>
    <w:rsid w:val="00F15823"/>
    <w:rsid w:val="00FB3A79"/>
    <w:rsid w:val="00FB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04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5E"/>
    <w:pPr>
      <w:spacing w:after="0" w:line="240" w:lineRule="auto"/>
    </w:pPr>
    <w:rPr>
      <w:rFonts w:ascii="Garamond" w:eastAsia="Times New Roman" w:hAnsi="Garamond" w:cs="Lucida Sans Unicode"/>
      <w:color w:val="22222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E5E"/>
    <w:rPr>
      <w:color w:val="0563C1" w:themeColor="hyperlink"/>
      <w:u w:val="single"/>
    </w:rPr>
  </w:style>
  <w:style w:type="paragraph" w:styleId="ListParagraph">
    <w:name w:val="List Paragraph"/>
    <w:basedOn w:val="Normal"/>
    <w:uiPriority w:val="34"/>
    <w:qFormat/>
    <w:rsid w:val="00BA1E5E"/>
    <w:pPr>
      <w:spacing w:after="200" w:line="276" w:lineRule="auto"/>
      <w:ind w:left="720"/>
      <w:contextualSpacing/>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EE1CDE"/>
    <w:rPr>
      <w:rFonts w:ascii="Segoe UI" w:hAnsi="Segoe UI" w:cs="Segoe UI"/>
      <w:sz w:val="18"/>
    </w:rPr>
  </w:style>
  <w:style w:type="character" w:customStyle="1" w:styleId="BalloonTextChar">
    <w:name w:val="Balloon Text Char"/>
    <w:basedOn w:val="DefaultParagraphFont"/>
    <w:link w:val="BalloonText"/>
    <w:uiPriority w:val="99"/>
    <w:semiHidden/>
    <w:rsid w:val="00EE1CDE"/>
    <w:rPr>
      <w:rFonts w:ascii="Segoe UI" w:eastAsia="Times New Roman" w:hAnsi="Segoe UI" w:cs="Segoe UI"/>
      <w:color w:val="222222"/>
      <w:sz w:val="18"/>
      <w:szCs w:val="18"/>
    </w:rPr>
  </w:style>
  <w:style w:type="character" w:styleId="CommentReference">
    <w:name w:val="annotation reference"/>
    <w:basedOn w:val="DefaultParagraphFont"/>
    <w:uiPriority w:val="99"/>
    <w:semiHidden/>
    <w:unhideWhenUsed/>
    <w:rsid w:val="00EE1CDE"/>
    <w:rPr>
      <w:sz w:val="16"/>
      <w:szCs w:val="16"/>
    </w:rPr>
  </w:style>
  <w:style w:type="paragraph" w:styleId="CommentText">
    <w:name w:val="annotation text"/>
    <w:basedOn w:val="Normal"/>
    <w:link w:val="CommentTextChar"/>
    <w:uiPriority w:val="99"/>
    <w:semiHidden/>
    <w:unhideWhenUsed/>
    <w:rsid w:val="00EE1CDE"/>
    <w:rPr>
      <w:sz w:val="20"/>
      <w:szCs w:val="20"/>
    </w:rPr>
  </w:style>
  <w:style w:type="character" w:customStyle="1" w:styleId="CommentTextChar">
    <w:name w:val="Comment Text Char"/>
    <w:basedOn w:val="DefaultParagraphFont"/>
    <w:link w:val="CommentText"/>
    <w:uiPriority w:val="99"/>
    <w:semiHidden/>
    <w:rsid w:val="00EE1CDE"/>
    <w:rPr>
      <w:rFonts w:ascii="Garamond" w:eastAsia="Times New Roman" w:hAnsi="Garamond" w:cs="Lucida Sans Unicode"/>
      <w:color w:val="222222"/>
      <w:sz w:val="20"/>
      <w:szCs w:val="20"/>
    </w:rPr>
  </w:style>
  <w:style w:type="paragraph" w:styleId="CommentSubject">
    <w:name w:val="annotation subject"/>
    <w:basedOn w:val="CommentText"/>
    <w:next w:val="CommentText"/>
    <w:link w:val="CommentSubjectChar"/>
    <w:uiPriority w:val="99"/>
    <w:semiHidden/>
    <w:unhideWhenUsed/>
    <w:rsid w:val="00EE1CDE"/>
    <w:rPr>
      <w:b/>
      <w:bCs/>
    </w:rPr>
  </w:style>
  <w:style w:type="character" w:customStyle="1" w:styleId="CommentSubjectChar">
    <w:name w:val="Comment Subject Char"/>
    <w:basedOn w:val="CommentTextChar"/>
    <w:link w:val="CommentSubject"/>
    <w:uiPriority w:val="99"/>
    <w:semiHidden/>
    <w:rsid w:val="00EE1CDE"/>
    <w:rPr>
      <w:rFonts w:ascii="Garamond" w:eastAsia="Times New Roman" w:hAnsi="Garamond" w:cs="Lucida Sans Unicode"/>
      <w:b/>
      <w:bCs/>
      <w:color w:val="222222"/>
      <w:sz w:val="20"/>
      <w:szCs w:val="20"/>
    </w:rPr>
  </w:style>
  <w:style w:type="paragraph" w:styleId="Header">
    <w:name w:val="header"/>
    <w:basedOn w:val="Normal"/>
    <w:link w:val="HeaderChar"/>
    <w:uiPriority w:val="99"/>
    <w:unhideWhenUsed/>
    <w:rsid w:val="00D55B9B"/>
    <w:pPr>
      <w:tabs>
        <w:tab w:val="center" w:pos="4680"/>
        <w:tab w:val="right" w:pos="9360"/>
      </w:tabs>
    </w:pPr>
  </w:style>
  <w:style w:type="character" w:customStyle="1" w:styleId="HeaderChar">
    <w:name w:val="Header Char"/>
    <w:basedOn w:val="DefaultParagraphFont"/>
    <w:link w:val="Header"/>
    <w:uiPriority w:val="99"/>
    <w:rsid w:val="00D55B9B"/>
    <w:rPr>
      <w:rFonts w:ascii="Garamond" w:eastAsia="Times New Roman" w:hAnsi="Garamond" w:cs="Lucida Sans Unicode"/>
      <w:color w:val="222222"/>
      <w:sz w:val="24"/>
      <w:szCs w:val="18"/>
    </w:rPr>
  </w:style>
  <w:style w:type="paragraph" w:styleId="Footer">
    <w:name w:val="footer"/>
    <w:basedOn w:val="Normal"/>
    <w:link w:val="FooterChar"/>
    <w:uiPriority w:val="99"/>
    <w:unhideWhenUsed/>
    <w:rsid w:val="00D55B9B"/>
    <w:pPr>
      <w:tabs>
        <w:tab w:val="center" w:pos="4680"/>
        <w:tab w:val="right" w:pos="9360"/>
      </w:tabs>
    </w:pPr>
  </w:style>
  <w:style w:type="character" w:customStyle="1" w:styleId="FooterChar">
    <w:name w:val="Footer Char"/>
    <w:basedOn w:val="DefaultParagraphFont"/>
    <w:link w:val="Footer"/>
    <w:uiPriority w:val="99"/>
    <w:rsid w:val="00D55B9B"/>
    <w:rPr>
      <w:rFonts w:ascii="Garamond" w:eastAsia="Times New Roman" w:hAnsi="Garamond" w:cs="Lucida Sans Unicode"/>
      <w:color w:val="222222"/>
      <w:sz w:val="24"/>
      <w:szCs w:val="18"/>
    </w:rPr>
  </w:style>
  <w:style w:type="paragraph" w:styleId="Revision">
    <w:name w:val="Revision"/>
    <w:hidden/>
    <w:uiPriority w:val="99"/>
    <w:semiHidden/>
    <w:rsid w:val="00FB3A79"/>
    <w:pPr>
      <w:spacing w:after="0" w:line="240" w:lineRule="auto"/>
    </w:pPr>
    <w:rPr>
      <w:rFonts w:ascii="Garamond" w:eastAsia="Times New Roman" w:hAnsi="Garamond" w:cs="Lucida Sans Unicode"/>
      <w:color w:val="22222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09305">
      <w:bodyDiv w:val="1"/>
      <w:marLeft w:val="0"/>
      <w:marRight w:val="0"/>
      <w:marTop w:val="0"/>
      <w:marBottom w:val="0"/>
      <w:divBdr>
        <w:top w:val="none" w:sz="0" w:space="0" w:color="auto"/>
        <w:left w:val="none" w:sz="0" w:space="0" w:color="auto"/>
        <w:bottom w:val="none" w:sz="0" w:space="0" w:color="auto"/>
        <w:right w:val="none" w:sz="0" w:space="0" w:color="auto"/>
      </w:divBdr>
    </w:div>
    <w:div w:id="12674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2142-9AC9-4D82-B941-C0BCACC2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2023-08-28T17:52:00Z</dcterms:created>
  <dcterms:modified xsi:type="dcterms:W3CDTF">2023-08-28T20:38:00Z</dcterms:modified>
</cp:coreProperties>
</file>